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1967"/>
        <w:spacing w:before="110" w:line="216" w:lineRule="auto"/>
        <w:outlineLvl w:val="0"/>
        <w:rPr/>
      </w:pPr>
      <w:r>
        <w:rPr>
          <w:spacing w:val="-12"/>
        </w:rPr>
        <w:t>古 县 古 阳 镇</w:t>
      </w:r>
      <w:r>
        <w:rPr>
          <w:spacing w:val="24"/>
        </w:rPr>
        <w:t xml:space="preserve"> </w:t>
      </w:r>
      <w:r>
        <w:rPr>
          <w:spacing w:val="-12"/>
        </w:rPr>
        <w:t>中 心</w:t>
      </w:r>
      <w:r>
        <w:rPr>
          <w:spacing w:val="-2"/>
        </w:rPr>
        <w:t xml:space="preserve"> </w:t>
      </w:r>
      <w:r>
        <w:rPr>
          <w:spacing w:val="-12"/>
        </w:rPr>
        <w:t>学 校</w:t>
      </w:r>
    </w:p>
    <w:p>
      <w:pPr>
        <w:spacing w:line="319" w:lineRule="auto"/>
        <w:rPr>
          <w:rFonts w:ascii="Arial"/>
          <w:sz w:val="21"/>
        </w:rPr>
      </w:pPr>
      <w:r/>
    </w:p>
    <w:p>
      <w:pPr>
        <w:spacing w:line="320" w:lineRule="auto"/>
        <w:rPr>
          <w:rFonts w:ascii="Arial"/>
          <w:sz w:val="21"/>
        </w:rPr>
      </w:pPr>
      <w:r/>
    </w:p>
    <w:p>
      <w:pPr>
        <w:pStyle w:val="BodyText"/>
        <w:ind w:left="1491"/>
        <w:spacing w:before="111" w:line="217" w:lineRule="auto"/>
        <w:rPr/>
      </w:pPr>
      <w:r>
        <w:rPr>
          <w:spacing w:val="1"/>
        </w:rPr>
        <w:t>2 0 2 3</w:t>
      </w:r>
      <w:r>
        <w:rPr>
          <w:spacing w:val="-3"/>
        </w:rPr>
        <w:t xml:space="preserve"> </w:t>
      </w:r>
      <w:r>
        <w:rPr>
          <w:spacing w:val="1"/>
        </w:rPr>
        <w:t>年 度</w:t>
      </w:r>
      <w:r>
        <w:rPr>
          <w:spacing w:val="-8"/>
        </w:rPr>
        <w:t xml:space="preserve"> </w:t>
      </w:r>
      <w:r>
        <w:rPr>
          <w:spacing w:val="1"/>
        </w:rPr>
        <w:t>单</w:t>
      </w:r>
      <w:r>
        <w:rPr>
          <w:spacing w:val="-14"/>
        </w:rPr>
        <w:t xml:space="preserve"> </w:t>
      </w:r>
      <w:r>
        <w:rPr>
          <w:spacing w:val="1"/>
        </w:rPr>
        <w:t>位</w:t>
      </w:r>
      <w:r>
        <w:rPr>
          <w:spacing w:val="-12"/>
        </w:rPr>
        <w:t xml:space="preserve"> </w:t>
      </w:r>
      <w:r>
        <w:rPr>
          <w:spacing w:val="1"/>
        </w:rPr>
        <w:t>决</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pPr>
        <w:spacing w:line="217" w:lineRule="auto"/>
        <w:sectPr>
          <w:pgSz w:w="11900" w:h="16840"/>
          <w:pgMar w:top="1431" w:right="1785" w:bottom="0" w:left="1785" w:header="0" w:footer="0" w:gutter="0"/>
        </w:sectPr>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spacing w:line="267" w:lineRule="auto"/>
        <w:rPr>
          <w:rFonts w:ascii="Arial"/>
          <w:sz w:val="21"/>
        </w:rPr>
      </w:pPr>
      <w:r/>
    </w:p>
    <w:p>
      <w:pPr>
        <w:spacing w:line="268" w:lineRule="auto"/>
        <w:rPr>
          <w:rFonts w:ascii="Arial"/>
          <w:sz w:val="21"/>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08" w:right="811" w:firstLine="381"/>
        <w:spacing w:before="275" w:line="309" w:lineRule="auto"/>
        <w:jc w:val="both"/>
        <w:rPr>
          <w:rFonts w:ascii="FangSong" w:hAnsi="FangSong" w:eastAsia="FangSong" w:cs="FangSong"/>
          <w:sz w:val="25"/>
          <w:szCs w:val="25"/>
        </w:rPr>
      </w:pPr>
      <w:r>
        <w:rPr>
          <w:rFonts w:ascii="FangSong" w:hAnsi="FangSong" w:eastAsia="FangSong" w:cs="FangSong"/>
          <w:sz w:val="25"/>
          <w:szCs w:val="25"/>
          <w:spacing w:val="1"/>
        </w:rPr>
        <w:t>古县古阳镇中心学校主要职能是坚持贯彻和执行党和国家有关方针政策，科学管</w:t>
      </w:r>
      <w:r>
        <w:rPr>
          <w:rFonts w:ascii="FangSong" w:hAnsi="FangSong" w:eastAsia="FangSong" w:cs="FangSong"/>
          <w:sz w:val="25"/>
          <w:szCs w:val="25"/>
          <w:spacing w:val="12"/>
        </w:rPr>
        <w:t xml:space="preserve"> </w:t>
      </w:r>
      <w:r>
        <w:rPr>
          <w:rFonts w:ascii="FangSong" w:hAnsi="FangSong" w:eastAsia="FangSong" w:cs="FangSong"/>
          <w:sz w:val="25"/>
          <w:szCs w:val="25"/>
          <w:spacing w:val="1"/>
        </w:rPr>
        <w:t>理全镇教师队伍，有效组织教育教研活动，为我镇教育教学工作提供保障，促进辖</w:t>
      </w:r>
      <w:r>
        <w:rPr>
          <w:rFonts w:ascii="FangSong" w:hAnsi="FangSong" w:eastAsia="FangSong" w:cs="FangSong"/>
          <w:sz w:val="25"/>
          <w:szCs w:val="25"/>
          <w:spacing w:val="8"/>
        </w:rPr>
        <w:t xml:space="preserve">  </w:t>
      </w:r>
      <w:r>
        <w:rPr>
          <w:rFonts w:ascii="FangSong" w:hAnsi="FangSong" w:eastAsia="FangSong" w:cs="FangSong"/>
          <w:sz w:val="25"/>
          <w:szCs w:val="25"/>
          <w:spacing w:val="-1"/>
        </w:rPr>
        <w:t>区教育事业发展。</w:t>
      </w:r>
    </w:p>
    <w:p>
      <w:pPr>
        <w:ind w:left="1208"/>
        <w:spacing w:before="18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937" w:firstLine="383"/>
        <w:spacing w:before="128" w:line="309" w:lineRule="auto"/>
        <w:jc w:val="both"/>
        <w:rPr>
          <w:rFonts w:ascii="FangSong" w:hAnsi="FangSong" w:eastAsia="FangSong" w:cs="FangSong"/>
          <w:sz w:val="25"/>
          <w:szCs w:val="25"/>
        </w:rPr>
      </w:pPr>
      <w:r>
        <w:rPr>
          <w:rFonts w:ascii="FangSong" w:hAnsi="FangSong" w:eastAsia="FangSong" w:cs="FangSong"/>
          <w:sz w:val="25"/>
          <w:szCs w:val="25"/>
          <w:spacing w:val="1"/>
        </w:rPr>
        <w:t>古阳镇中心学校为古县教科局下设事业单位，我单位无内设机构，下辖6个中心</w:t>
      </w:r>
      <w:r>
        <w:rPr>
          <w:rFonts w:ascii="FangSong" w:hAnsi="FangSong" w:eastAsia="FangSong" w:cs="FangSong"/>
          <w:sz w:val="25"/>
          <w:szCs w:val="25"/>
          <w:spacing w:val="11"/>
        </w:rPr>
        <w:t xml:space="preserve"> </w:t>
      </w:r>
      <w:r>
        <w:rPr>
          <w:rFonts w:ascii="FangSong" w:hAnsi="FangSong" w:eastAsia="FangSong" w:cs="FangSong"/>
          <w:sz w:val="25"/>
          <w:szCs w:val="25"/>
          <w:spacing w:val="1"/>
        </w:rPr>
        <w:t>小学和一个公办幼儿园，分别是古阳中心小学、安吉中心小学、金堆中心小学、相</w:t>
      </w:r>
      <w:r>
        <w:rPr>
          <w:rFonts w:ascii="FangSong" w:hAnsi="FangSong" w:eastAsia="FangSong" w:cs="FangSong"/>
          <w:sz w:val="25"/>
          <w:szCs w:val="25"/>
          <w:spacing w:val="18"/>
        </w:rPr>
        <w:t xml:space="preserve"> </w:t>
      </w:r>
      <w:r>
        <w:rPr>
          <w:rFonts w:ascii="FangSong" w:hAnsi="FangSong" w:eastAsia="FangSong" w:cs="FangSong"/>
          <w:sz w:val="25"/>
          <w:szCs w:val="25"/>
          <w:spacing w:val="-1"/>
        </w:rPr>
        <w:t>力中心小学、</w:t>
      </w:r>
      <w:r>
        <w:rPr>
          <w:rFonts w:ascii="FangSong" w:hAnsi="FangSong" w:eastAsia="FangSong" w:cs="FangSong"/>
          <w:sz w:val="25"/>
          <w:szCs w:val="25"/>
          <w:spacing w:val="-58"/>
        </w:rPr>
        <w:t xml:space="preserve"> </w:t>
      </w:r>
      <w:r>
        <w:rPr>
          <w:rFonts w:ascii="FangSong" w:hAnsi="FangSong" w:eastAsia="FangSong" w:cs="FangSong"/>
          <w:sz w:val="25"/>
          <w:szCs w:val="25"/>
          <w:spacing w:val="-1"/>
        </w:rPr>
        <w:t>白素中心小学、热留中心小学、古阳镇中心幼儿园。</w:t>
      </w:r>
    </w:p>
    <w:p>
      <w:pPr>
        <w:spacing w:line="309"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部门名称：古县古阳镇中心学校</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1,240.80</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pStyle w:val="TableText"/>
              <w:ind w:left="1200"/>
              <w:spacing w:before="158" w:line="188" w:lineRule="auto"/>
              <w:rPr>
                <w:sz w:val="15"/>
                <w:szCs w:val="15"/>
              </w:rPr>
            </w:pPr>
            <w:r>
              <w:rPr>
                <w:sz w:val="15"/>
                <w:szCs w:val="15"/>
                <w:color w:val="212529"/>
                <w:spacing w:val="1"/>
              </w:rPr>
              <w:t>899.26</w:t>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01"/>
              <w:spacing w:before="158" w:line="188" w:lineRule="auto"/>
              <w:rPr>
                <w:sz w:val="15"/>
                <w:szCs w:val="15"/>
              </w:rPr>
            </w:pPr>
            <w:r>
              <w:rPr>
                <w:sz w:val="15"/>
                <w:szCs w:val="15"/>
                <w:color w:val="212529"/>
                <w:spacing w:val="1"/>
              </w:rPr>
              <w:t>260.38</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5"/>
              <w:spacing w:before="159" w:line="188" w:lineRule="auto"/>
              <w:rPr>
                <w:sz w:val="15"/>
                <w:szCs w:val="15"/>
              </w:rPr>
            </w:pPr>
            <w:r>
              <w:rPr>
                <w:sz w:val="15"/>
                <w:szCs w:val="15"/>
                <w:color w:val="212529"/>
              </w:rPr>
              <w:t>78.88</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7"/>
              <w:spacing w:before="160" w:line="188" w:lineRule="auto"/>
              <w:rPr>
                <w:sz w:val="15"/>
                <w:szCs w:val="15"/>
              </w:rPr>
            </w:pPr>
            <w:r>
              <w:rPr>
                <w:sz w:val="15"/>
                <w:szCs w:val="15"/>
                <w:color w:val="212529"/>
              </w:rPr>
              <w:t>2.27</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rPr>
          <w:rFonts w:ascii="Arial"/>
          <w:sz w:val="21"/>
        </w:rPr>
      </w:pPr>
      <w:r/>
    </w:p>
    <w:p>
      <w:pPr>
        <w:sectPr>
          <w:footerReference w:type="default" r:id="rId3"/>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1,240.80</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1,240.80</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1,240.80</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1,240.80</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部门名称：古县古阳镇中心学校</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3"/>
              </w:rPr>
              <w:t>1,240.80</w:t>
            </w:r>
          </w:p>
        </w:tc>
        <w:tc>
          <w:tcPr>
            <w:tcW w:w="1259" w:type="dxa"/>
            <w:vAlign w:val="top"/>
          </w:tcPr>
          <w:p>
            <w:pPr>
              <w:pStyle w:val="TableText"/>
              <w:ind w:right="25"/>
              <w:spacing w:before="74" w:line="184" w:lineRule="auto"/>
              <w:jc w:val="right"/>
              <w:rPr/>
            </w:pPr>
            <w:r>
              <w:rPr>
                <w:color w:val="212529"/>
                <w:spacing w:val="-3"/>
              </w:rPr>
              <w:t>1,240.80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4"/>
              </w:rPr>
              <w:t>205</w:t>
            </w:r>
          </w:p>
        </w:tc>
        <w:tc>
          <w:tcPr>
            <w:tcW w:w="1055" w:type="dxa"/>
            <w:vAlign w:val="top"/>
          </w:tcPr>
          <w:p>
            <w:pPr>
              <w:pStyle w:val="TableText"/>
              <w:ind w:left="6"/>
              <w:spacing w:before="47" w:line="219" w:lineRule="auto"/>
              <w:rPr/>
            </w:pPr>
            <w:r>
              <w:rPr>
                <w:color w:val="212529"/>
                <w:spacing w:val="-3"/>
              </w:rPr>
              <w:t>教育支出</w:t>
            </w:r>
          </w:p>
        </w:tc>
        <w:tc>
          <w:tcPr>
            <w:tcW w:w="1379" w:type="dxa"/>
            <w:vAlign w:val="top"/>
          </w:tcPr>
          <w:p>
            <w:pPr>
              <w:pStyle w:val="TableText"/>
              <w:ind w:right="26"/>
              <w:spacing w:before="75" w:line="183" w:lineRule="auto"/>
              <w:jc w:val="right"/>
              <w:rPr/>
            </w:pPr>
            <w:r>
              <w:rPr>
                <w:color w:val="212529"/>
                <w:spacing w:val="-2"/>
              </w:rPr>
              <w:t>899.26</w:t>
            </w:r>
          </w:p>
        </w:tc>
        <w:tc>
          <w:tcPr>
            <w:tcW w:w="1259" w:type="dxa"/>
            <w:vAlign w:val="top"/>
          </w:tcPr>
          <w:p>
            <w:pPr>
              <w:pStyle w:val="TableText"/>
              <w:ind w:right="25"/>
              <w:spacing w:before="75" w:line="183" w:lineRule="auto"/>
              <w:jc w:val="right"/>
              <w:rPr/>
            </w:pPr>
            <w:r>
              <w:rPr>
                <w:color w:val="212529"/>
                <w:spacing w:val="-2"/>
              </w:rPr>
              <w:t>899.26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2"/>
              </w:rPr>
              <w:t>20502</w:t>
            </w:r>
          </w:p>
        </w:tc>
        <w:tc>
          <w:tcPr>
            <w:tcW w:w="1055" w:type="dxa"/>
            <w:vAlign w:val="top"/>
          </w:tcPr>
          <w:p>
            <w:pPr>
              <w:pStyle w:val="TableText"/>
              <w:ind w:left="3"/>
              <w:spacing w:before="47" w:line="219" w:lineRule="auto"/>
              <w:rPr/>
            </w:pPr>
            <w:r>
              <w:rPr>
                <w:color w:val="212529"/>
                <w:spacing w:val="-2"/>
              </w:rPr>
              <w:t>普通教育</w:t>
            </w:r>
          </w:p>
        </w:tc>
        <w:tc>
          <w:tcPr>
            <w:tcW w:w="1379" w:type="dxa"/>
            <w:vAlign w:val="top"/>
          </w:tcPr>
          <w:p>
            <w:pPr>
              <w:pStyle w:val="TableText"/>
              <w:ind w:right="26"/>
              <w:spacing w:before="75" w:line="183" w:lineRule="auto"/>
              <w:jc w:val="right"/>
              <w:rPr/>
            </w:pPr>
            <w:r>
              <w:rPr>
                <w:color w:val="212529"/>
                <w:spacing w:val="-2"/>
              </w:rPr>
              <w:t>899.26</w:t>
            </w:r>
          </w:p>
        </w:tc>
        <w:tc>
          <w:tcPr>
            <w:tcW w:w="1259" w:type="dxa"/>
            <w:vAlign w:val="top"/>
          </w:tcPr>
          <w:p>
            <w:pPr>
              <w:pStyle w:val="TableText"/>
              <w:ind w:right="25"/>
              <w:spacing w:before="75" w:line="183" w:lineRule="auto"/>
              <w:jc w:val="right"/>
              <w:rPr/>
            </w:pPr>
            <w:r>
              <w:rPr>
                <w:color w:val="212529"/>
                <w:spacing w:val="-2"/>
              </w:rPr>
              <w:t>899.26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4" w:line="184" w:lineRule="auto"/>
              <w:rPr/>
            </w:pPr>
            <w:r>
              <w:rPr>
                <w:color w:val="212529"/>
                <w:spacing w:val="-2"/>
              </w:rPr>
              <w:t>2050201</w:t>
            </w:r>
          </w:p>
        </w:tc>
        <w:tc>
          <w:tcPr>
            <w:tcW w:w="1055" w:type="dxa"/>
            <w:vAlign w:val="top"/>
          </w:tcPr>
          <w:p>
            <w:pPr>
              <w:pStyle w:val="TableText"/>
              <w:ind w:left="8"/>
              <w:spacing w:before="47" w:line="219" w:lineRule="auto"/>
              <w:rPr/>
            </w:pPr>
            <w:r>
              <w:rPr>
                <w:color w:val="212529"/>
                <w:spacing w:val="-3"/>
              </w:rPr>
              <w:t>学前教育</w:t>
            </w:r>
          </w:p>
        </w:tc>
        <w:tc>
          <w:tcPr>
            <w:tcW w:w="1379" w:type="dxa"/>
            <w:vAlign w:val="top"/>
          </w:tcPr>
          <w:p>
            <w:pPr>
              <w:pStyle w:val="TableText"/>
              <w:ind w:left="907"/>
              <w:spacing w:before="74" w:line="184" w:lineRule="auto"/>
              <w:rPr/>
            </w:pPr>
            <w:r>
              <w:rPr>
                <w:color w:val="212529"/>
                <w:spacing w:val="-5"/>
              </w:rPr>
              <w:t>13.78</w:t>
            </w:r>
          </w:p>
        </w:tc>
        <w:tc>
          <w:tcPr>
            <w:tcW w:w="1259" w:type="dxa"/>
            <w:vAlign w:val="top"/>
          </w:tcPr>
          <w:p>
            <w:pPr>
              <w:pStyle w:val="TableText"/>
              <w:ind w:left="788"/>
              <w:spacing w:before="74" w:line="184" w:lineRule="auto"/>
              <w:rPr/>
            </w:pPr>
            <w:r>
              <w:rPr>
                <w:color w:val="212529"/>
                <w:spacing w:val="-5"/>
              </w:rPr>
              <w:t>13.78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3" w:lineRule="auto"/>
              <w:rPr/>
            </w:pPr>
            <w:r>
              <w:rPr>
                <w:color w:val="212529"/>
                <w:spacing w:val="-2"/>
              </w:rPr>
              <w:t>2050202</w:t>
            </w:r>
          </w:p>
        </w:tc>
        <w:tc>
          <w:tcPr>
            <w:tcW w:w="1055" w:type="dxa"/>
            <w:vAlign w:val="top"/>
          </w:tcPr>
          <w:p>
            <w:pPr>
              <w:pStyle w:val="TableText"/>
              <w:ind w:left="9"/>
              <w:spacing w:before="47" w:line="219" w:lineRule="auto"/>
              <w:rPr/>
            </w:pPr>
            <w:r>
              <w:rPr>
                <w:color w:val="212529"/>
                <w:spacing w:val="-4"/>
              </w:rPr>
              <w:t>小学教育</w:t>
            </w:r>
          </w:p>
        </w:tc>
        <w:tc>
          <w:tcPr>
            <w:tcW w:w="1379" w:type="dxa"/>
            <w:vAlign w:val="top"/>
          </w:tcPr>
          <w:p>
            <w:pPr>
              <w:pStyle w:val="TableText"/>
              <w:ind w:right="26"/>
              <w:spacing w:before="75" w:line="183" w:lineRule="auto"/>
              <w:jc w:val="right"/>
              <w:rPr/>
            </w:pPr>
            <w:r>
              <w:rPr>
                <w:color w:val="212529"/>
                <w:spacing w:val="-2"/>
              </w:rPr>
              <w:t>789.04</w:t>
            </w:r>
          </w:p>
        </w:tc>
        <w:tc>
          <w:tcPr>
            <w:tcW w:w="1259" w:type="dxa"/>
            <w:vAlign w:val="top"/>
          </w:tcPr>
          <w:p>
            <w:pPr>
              <w:pStyle w:val="TableText"/>
              <w:ind w:right="25"/>
              <w:spacing w:before="75" w:line="183" w:lineRule="auto"/>
              <w:jc w:val="right"/>
              <w:rPr/>
            </w:pPr>
            <w:r>
              <w:rPr>
                <w:color w:val="212529"/>
                <w:spacing w:val="-2"/>
              </w:rPr>
              <w:t>789.04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3" w:lineRule="auto"/>
              <w:rPr/>
            </w:pPr>
            <w:r>
              <w:rPr>
                <w:color w:val="212529"/>
                <w:spacing w:val="-2"/>
              </w:rPr>
              <w:t>2050299</w:t>
            </w:r>
          </w:p>
        </w:tc>
        <w:tc>
          <w:tcPr>
            <w:tcW w:w="1055" w:type="dxa"/>
            <w:vAlign w:val="top"/>
          </w:tcPr>
          <w:p>
            <w:pPr>
              <w:pStyle w:val="TableText"/>
              <w:ind w:left="11" w:right="148" w:hanging="6"/>
              <w:spacing w:before="1" w:line="204" w:lineRule="auto"/>
              <w:rPr/>
            </w:pPr>
            <w:r>
              <w:rPr>
                <w:color w:val="212529"/>
                <w:spacing w:val="-2"/>
              </w:rPr>
              <w:t>其他普通教</w:t>
            </w:r>
            <w:r>
              <w:rPr>
                <w:color w:val="212529"/>
              </w:rPr>
              <w:t xml:space="preserve"> </w:t>
            </w:r>
            <w:r>
              <w:rPr>
                <w:color w:val="212529"/>
                <w:spacing w:val="-6"/>
              </w:rPr>
              <w:t>育支出</w:t>
            </w:r>
          </w:p>
        </w:tc>
        <w:tc>
          <w:tcPr>
            <w:tcW w:w="1379" w:type="dxa"/>
            <w:vAlign w:val="top"/>
          </w:tcPr>
          <w:p>
            <w:pPr>
              <w:pStyle w:val="TableText"/>
              <w:ind w:left="894"/>
              <w:spacing w:before="123" w:line="183" w:lineRule="auto"/>
              <w:rPr/>
            </w:pPr>
            <w:r>
              <w:rPr>
                <w:color w:val="212529"/>
                <w:spacing w:val="-2"/>
              </w:rPr>
              <w:t>96.45</w:t>
            </w:r>
          </w:p>
        </w:tc>
        <w:tc>
          <w:tcPr>
            <w:tcW w:w="1259" w:type="dxa"/>
            <w:vAlign w:val="top"/>
          </w:tcPr>
          <w:p>
            <w:pPr>
              <w:pStyle w:val="TableText"/>
              <w:ind w:left="776"/>
              <w:spacing w:before="123" w:line="183" w:lineRule="auto"/>
              <w:rPr/>
            </w:pPr>
            <w:r>
              <w:rPr>
                <w:color w:val="212529"/>
                <w:spacing w:val="-2"/>
              </w:rPr>
              <w:t>96.45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5" w:line="183" w:lineRule="auto"/>
              <w:jc w:val="right"/>
              <w:rPr/>
            </w:pPr>
            <w:r>
              <w:rPr>
                <w:color w:val="212529"/>
                <w:spacing w:val="-2"/>
              </w:rPr>
              <w:t>260.38</w:t>
            </w:r>
          </w:p>
        </w:tc>
        <w:tc>
          <w:tcPr>
            <w:tcW w:w="1259" w:type="dxa"/>
            <w:vAlign w:val="top"/>
          </w:tcPr>
          <w:p>
            <w:pPr>
              <w:pStyle w:val="TableText"/>
              <w:ind w:right="25"/>
              <w:spacing w:before="125" w:line="183" w:lineRule="auto"/>
              <w:jc w:val="right"/>
              <w:rPr/>
            </w:pPr>
            <w:r>
              <w:rPr>
                <w:color w:val="212529"/>
                <w:spacing w:val="-2"/>
              </w:rPr>
              <w:t>260.38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1"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6" w:line="183" w:lineRule="auto"/>
              <w:jc w:val="right"/>
              <w:rPr/>
            </w:pPr>
            <w:r>
              <w:rPr>
                <w:color w:val="212529"/>
                <w:spacing w:val="-2"/>
              </w:rPr>
              <w:t>260.38</w:t>
            </w:r>
          </w:p>
        </w:tc>
        <w:tc>
          <w:tcPr>
            <w:tcW w:w="1259" w:type="dxa"/>
            <w:vAlign w:val="top"/>
          </w:tcPr>
          <w:p>
            <w:pPr>
              <w:pStyle w:val="TableText"/>
              <w:ind w:right="25"/>
              <w:spacing w:before="126" w:line="183" w:lineRule="auto"/>
              <w:jc w:val="right"/>
              <w:rPr/>
            </w:pPr>
            <w:r>
              <w:rPr>
                <w:color w:val="212529"/>
                <w:spacing w:val="-2"/>
              </w:rPr>
              <w:t>260.38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7"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8"/>
              <w:spacing w:before="127" w:line="183" w:lineRule="auto"/>
              <w:rPr/>
            </w:pPr>
            <w:r>
              <w:rPr>
                <w:color w:val="212529"/>
                <w:spacing w:val="-3"/>
              </w:rPr>
              <w:t>72.56</w:t>
            </w:r>
          </w:p>
        </w:tc>
        <w:tc>
          <w:tcPr>
            <w:tcW w:w="1259" w:type="dxa"/>
            <w:vAlign w:val="top"/>
          </w:tcPr>
          <w:p>
            <w:pPr>
              <w:pStyle w:val="TableText"/>
              <w:ind w:left="779"/>
              <w:spacing w:before="127" w:line="183" w:lineRule="auto"/>
              <w:rPr/>
            </w:pPr>
            <w:r>
              <w:rPr>
                <w:color w:val="212529"/>
                <w:spacing w:val="-3"/>
              </w:rPr>
              <w:t>72.56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1"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1" w:lineRule="auto"/>
              <w:rPr>
                <w:rFonts w:ascii="Arial"/>
                <w:sz w:val="21"/>
              </w:rPr>
            </w:pPr>
            <w:r/>
          </w:p>
          <w:p>
            <w:pPr>
              <w:pStyle w:val="TableText"/>
              <w:ind w:left="898"/>
              <w:spacing w:before="58" w:line="183" w:lineRule="auto"/>
              <w:rPr/>
            </w:pPr>
            <w:r>
              <w:rPr>
                <w:color w:val="212529"/>
                <w:spacing w:val="-3"/>
              </w:rPr>
              <w:t>74.97</w:t>
            </w:r>
          </w:p>
        </w:tc>
        <w:tc>
          <w:tcPr>
            <w:tcW w:w="1259" w:type="dxa"/>
            <w:vAlign w:val="top"/>
          </w:tcPr>
          <w:p>
            <w:pPr>
              <w:spacing w:line="271" w:lineRule="auto"/>
              <w:rPr>
                <w:rFonts w:ascii="Arial"/>
                <w:sz w:val="21"/>
              </w:rPr>
            </w:pPr>
            <w:r/>
          </w:p>
          <w:p>
            <w:pPr>
              <w:pStyle w:val="TableText"/>
              <w:ind w:left="779"/>
              <w:spacing w:before="58" w:line="183" w:lineRule="auto"/>
              <w:rPr/>
            </w:pPr>
            <w:r>
              <w:rPr>
                <w:color w:val="212529"/>
                <w:spacing w:val="-3"/>
              </w:rPr>
              <w:t>74.97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6"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right="26"/>
              <w:spacing w:before="235" w:line="184" w:lineRule="auto"/>
              <w:jc w:val="right"/>
              <w:rPr/>
            </w:pPr>
            <w:r>
              <w:rPr>
                <w:color w:val="212529"/>
                <w:spacing w:val="-4"/>
              </w:rPr>
              <w:t>112.86</w:t>
            </w:r>
          </w:p>
        </w:tc>
        <w:tc>
          <w:tcPr>
            <w:tcW w:w="1259" w:type="dxa"/>
            <w:vAlign w:val="top"/>
          </w:tcPr>
          <w:p>
            <w:pPr>
              <w:pStyle w:val="TableText"/>
              <w:ind w:right="25"/>
              <w:spacing w:before="235" w:line="184" w:lineRule="auto"/>
              <w:jc w:val="right"/>
              <w:rPr/>
            </w:pPr>
            <w:r>
              <w:rPr>
                <w:color w:val="212529"/>
                <w:spacing w:val="-4"/>
              </w:rPr>
              <w:t>112.86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4"/>
              </w:rPr>
              <w:t>221</w:t>
            </w:r>
          </w:p>
        </w:tc>
        <w:tc>
          <w:tcPr>
            <w:tcW w:w="1055" w:type="dxa"/>
            <w:vAlign w:val="top"/>
          </w:tcPr>
          <w:p>
            <w:pPr>
              <w:pStyle w:val="TableText"/>
              <w:ind w:left="19" w:right="148" w:hanging="16"/>
              <w:spacing w:before="6" w:line="202"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78.88</w:t>
            </w:r>
          </w:p>
        </w:tc>
        <w:tc>
          <w:tcPr>
            <w:tcW w:w="1259" w:type="dxa"/>
            <w:vAlign w:val="top"/>
          </w:tcPr>
          <w:p>
            <w:pPr>
              <w:pStyle w:val="TableText"/>
              <w:ind w:left="779"/>
              <w:spacing w:before="129" w:line="183" w:lineRule="auto"/>
              <w:rPr/>
            </w:pPr>
            <w:r>
              <w:rPr>
                <w:color w:val="212529"/>
                <w:spacing w:val="-3"/>
              </w:rPr>
              <w:t>78.88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2"/>
              </w:rPr>
              <w:t>22102</w:t>
            </w:r>
          </w:p>
        </w:tc>
        <w:tc>
          <w:tcPr>
            <w:tcW w:w="1055" w:type="dxa"/>
            <w:vAlign w:val="top"/>
          </w:tcPr>
          <w:p>
            <w:pPr>
              <w:pStyle w:val="TableText"/>
              <w:ind w:left="19" w:right="148" w:hanging="16"/>
              <w:spacing w:before="6" w:line="202"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78.88</w:t>
            </w:r>
          </w:p>
        </w:tc>
        <w:tc>
          <w:tcPr>
            <w:tcW w:w="1259" w:type="dxa"/>
            <w:vAlign w:val="top"/>
          </w:tcPr>
          <w:p>
            <w:pPr>
              <w:pStyle w:val="TableText"/>
              <w:ind w:left="779"/>
              <w:spacing w:before="129" w:line="183" w:lineRule="auto"/>
              <w:rPr/>
            </w:pPr>
            <w:r>
              <w:rPr>
                <w:color w:val="212529"/>
                <w:spacing w:val="-3"/>
              </w:rPr>
              <w:t>78.88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2210201</w:t>
            </w:r>
          </w:p>
        </w:tc>
        <w:tc>
          <w:tcPr>
            <w:tcW w:w="1055" w:type="dxa"/>
            <w:vAlign w:val="top"/>
          </w:tcPr>
          <w:p>
            <w:pPr>
              <w:pStyle w:val="TableText"/>
              <w:ind w:left="3"/>
              <w:spacing w:before="53" w:line="220" w:lineRule="auto"/>
              <w:rPr/>
            </w:pPr>
            <w:r>
              <w:rPr>
                <w:color w:val="212529"/>
                <w:spacing w:val="-2"/>
              </w:rPr>
              <w:t>住房公积金</w:t>
            </w:r>
          </w:p>
        </w:tc>
        <w:tc>
          <w:tcPr>
            <w:tcW w:w="1379" w:type="dxa"/>
            <w:vAlign w:val="top"/>
          </w:tcPr>
          <w:p>
            <w:pPr>
              <w:pStyle w:val="TableText"/>
              <w:ind w:left="898"/>
              <w:spacing w:before="82" w:line="183" w:lineRule="auto"/>
              <w:rPr/>
            </w:pPr>
            <w:r>
              <w:rPr>
                <w:color w:val="212529"/>
                <w:spacing w:val="-3"/>
              </w:rPr>
              <w:t>78.88</w:t>
            </w:r>
          </w:p>
        </w:tc>
        <w:tc>
          <w:tcPr>
            <w:tcW w:w="1259" w:type="dxa"/>
            <w:vAlign w:val="top"/>
          </w:tcPr>
          <w:p>
            <w:pPr>
              <w:pStyle w:val="TableText"/>
              <w:ind w:left="779"/>
              <w:spacing w:before="82" w:line="183" w:lineRule="auto"/>
              <w:rPr/>
            </w:pPr>
            <w:r>
              <w:rPr>
                <w:color w:val="212529"/>
                <w:spacing w:val="-3"/>
              </w:rPr>
              <w:t>78.88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4"/>
              </w:rPr>
              <w:t>224</w:t>
            </w:r>
          </w:p>
        </w:tc>
        <w:tc>
          <w:tcPr>
            <w:tcW w:w="1055" w:type="dxa"/>
            <w:vAlign w:val="top"/>
          </w:tcPr>
          <w:p>
            <w:pPr>
              <w:pStyle w:val="TableText"/>
              <w:ind w:left="4" w:right="148" w:firstLine="4"/>
              <w:spacing w:before="6"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8" w:line="183" w:lineRule="auto"/>
              <w:jc w:val="right"/>
              <w:rPr/>
            </w:pPr>
            <w:r>
              <w:rPr>
                <w:color w:val="212529"/>
                <w:spacing w:val="-3"/>
              </w:rPr>
              <w:t>2.27</w:t>
            </w:r>
          </w:p>
        </w:tc>
        <w:tc>
          <w:tcPr>
            <w:tcW w:w="1259" w:type="dxa"/>
            <w:vAlign w:val="top"/>
          </w:tcPr>
          <w:p>
            <w:pPr>
              <w:pStyle w:val="TableText"/>
              <w:ind w:right="25"/>
              <w:spacing w:before="238" w:line="183" w:lineRule="auto"/>
              <w:jc w:val="right"/>
              <w:rPr/>
            </w:pPr>
            <w:r>
              <w:rPr>
                <w:color w:val="212529"/>
                <w:spacing w:val="-3"/>
              </w:rPr>
              <w:t>2.27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9"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9" w:line="183" w:lineRule="auto"/>
              <w:jc w:val="right"/>
              <w:rPr/>
            </w:pPr>
            <w:r>
              <w:rPr>
                <w:color w:val="212529"/>
                <w:spacing w:val="-3"/>
              </w:rPr>
              <w:t>2.27</w:t>
            </w:r>
          </w:p>
        </w:tc>
        <w:tc>
          <w:tcPr>
            <w:tcW w:w="1259" w:type="dxa"/>
            <w:vAlign w:val="top"/>
          </w:tcPr>
          <w:p>
            <w:pPr>
              <w:pStyle w:val="TableText"/>
              <w:ind w:right="25"/>
              <w:spacing w:before="239" w:line="183" w:lineRule="auto"/>
              <w:jc w:val="right"/>
              <w:rPr/>
            </w:pPr>
            <w:r>
              <w:rPr>
                <w:color w:val="212529"/>
                <w:spacing w:val="-3"/>
              </w:rPr>
              <w:t>2.27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2" w:line="183" w:lineRule="auto"/>
              <w:rPr/>
            </w:pPr>
            <w:r>
              <w:rPr>
                <w:color w:val="212529"/>
                <w:spacing w:val="-2"/>
              </w:rPr>
              <w:t>2240704</w:t>
            </w:r>
          </w:p>
        </w:tc>
        <w:tc>
          <w:tcPr>
            <w:tcW w:w="1055" w:type="dxa"/>
            <w:vAlign w:val="top"/>
          </w:tcPr>
          <w:p>
            <w:pPr>
              <w:pStyle w:val="TableText"/>
              <w:ind w:left="5" w:right="148" w:firstLine="28"/>
              <w:spacing w:before="8" w:line="201"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2" w:line="183" w:lineRule="auto"/>
              <w:jc w:val="right"/>
              <w:rPr/>
            </w:pPr>
            <w:r>
              <w:rPr>
                <w:color w:val="212529"/>
                <w:spacing w:val="-3"/>
              </w:rPr>
              <w:t>2.27</w:t>
            </w:r>
          </w:p>
        </w:tc>
        <w:tc>
          <w:tcPr>
            <w:tcW w:w="1259" w:type="dxa"/>
            <w:vAlign w:val="top"/>
          </w:tcPr>
          <w:p>
            <w:pPr>
              <w:pStyle w:val="TableText"/>
              <w:ind w:right="25"/>
              <w:spacing w:before="132" w:line="183" w:lineRule="auto"/>
              <w:jc w:val="right"/>
              <w:rPr/>
            </w:pPr>
            <w:r>
              <w:rPr>
                <w:color w:val="212529"/>
                <w:spacing w:val="-3"/>
              </w:rPr>
              <w:t>2.27</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rPr>
          <w:rFonts w:ascii="Arial"/>
          <w:sz w:val="21"/>
        </w:rPr>
      </w:pPr>
      <w:r/>
    </w:p>
    <w:p>
      <w:pPr>
        <w:sectPr>
          <w:footerReference w:type="default" r:id="rId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163"/>
        <w:gridCol w:w="1427"/>
        <w:gridCol w:w="1415"/>
        <w:gridCol w:w="1247"/>
        <w:gridCol w:w="515"/>
        <w:gridCol w:w="887"/>
        <w:gridCol w:w="893"/>
      </w:tblGrid>
      <w:tr>
        <w:trPr>
          <w:trHeight w:val="296"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34" w:line="211" w:lineRule="auto"/>
              <w:outlineLvl w:val="1"/>
              <w:rPr>
                <w:sz w:val="22"/>
                <w:szCs w:val="22"/>
              </w:rPr>
            </w:pPr>
            <w:bookmarkStart w:name="bookmark8" w:id="38"/>
            <w:bookmarkEnd w:id="38"/>
            <w:r>
              <w:rPr>
                <w:sz w:val="22"/>
                <w:szCs w:val="22"/>
                <w:color w:val="212529"/>
                <w:spacing w:val="5"/>
              </w:rPr>
              <w:t>支出决算表</w:t>
            </w:r>
          </w:p>
        </w:tc>
      </w:tr>
      <w:tr>
        <w:trPr>
          <w:trHeight w:val="290"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64" w:line="226" w:lineRule="auto"/>
              <w:rPr>
                <w:sz w:val="14"/>
                <w:szCs w:val="14"/>
              </w:rPr>
            </w:pPr>
            <w:r>
              <w:rPr>
                <w:sz w:val="14"/>
                <w:szCs w:val="14"/>
                <w:color w:val="212529"/>
              </w:rPr>
              <w:t>公开03表</w:t>
            </w:r>
          </w:p>
        </w:tc>
      </w:tr>
      <w:tr>
        <w:trPr>
          <w:trHeight w:val="290" w:hRule="atLeast"/>
        </w:trPr>
        <w:tc>
          <w:tcPr>
            <w:tcW w:w="4059" w:type="dxa"/>
            <w:vAlign w:val="top"/>
            <w:gridSpan w:val="3"/>
            <w:tcBorders>
              <w:top w:val="single" w:color="FFFFFF" w:sz="4" w:space="0"/>
              <w:left w:val="single" w:color="000000" w:sz="2" w:space="0"/>
              <w:right w:val="single" w:color="000000" w:sz="2" w:space="0"/>
            </w:tcBorders>
          </w:tcPr>
          <w:p>
            <w:pPr>
              <w:pStyle w:val="TableText"/>
              <w:ind w:left="12"/>
              <w:spacing w:before="53" w:line="227" w:lineRule="auto"/>
              <w:rPr>
                <w:sz w:val="15"/>
                <w:szCs w:val="15"/>
              </w:rPr>
            </w:pPr>
            <w:r>
              <w:rPr>
                <w:sz w:val="15"/>
                <w:szCs w:val="15"/>
                <w:color w:val="212529"/>
                <w:spacing w:val="5"/>
              </w:rPr>
              <w:t>部门名称：古县古阳镇中心学校</w:t>
            </w:r>
          </w:p>
        </w:tc>
        <w:tc>
          <w:tcPr>
            <w:tcW w:w="2662" w:type="dxa"/>
            <w:vAlign w:val="top"/>
            <w:gridSpan w:val="2"/>
            <w:tcBorders>
              <w:top w:val="single" w:color="FFFFFF" w:sz="4" w:space="0"/>
              <w:left w:val="single" w:color="000000" w:sz="2" w:space="0"/>
              <w:right w:val="single" w:color="000000" w:sz="2" w:space="0"/>
            </w:tcBorders>
          </w:tcPr>
          <w:p>
            <w:pPr>
              <w:pStyle w:val="TableText"/>
              <w:ind w:left="9"/>
              <w:spacing w:before="64"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64" w:line="225" w:lineRule="auto"/>
              <w:rPr>
                <w:sz w:val="14"/>
                <w:szCs w:val="14"/>
              </w:rPr>
            </w:pPr>
            <w:r>
              <w:rPr>
                <w:sz w:val="14"/>
                <w:szCs w:val="14"/>
                <w:color w:val="212529"/>
                <w:spacing w:val="2"/>
              </w:rPr>
              <w:t>金额单位：万元</w:t>
            </w:r>
          </w:p>
        </w:tc>
      </w:tr>
      <w:tr>
        <w:trPr>
          <w:trHeight w:val="290" w:hRule="atLeast"/>
        </w:trPr>
        <w:tc>
          <w:tcPr>
            <w:tcW w:w="2632" w:type="dxa"/>
            <w:vAlign w:val="top"/>
            <w:gridSpan w:val="2"/>
          </w:tcPr>
          <w:p>
            <w:pPr>
              <w:ind w:left="1113"/>
              <w:spacing w:before="62" w:line="16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27" w:type="dxa"/>
            <w:vAlign w:val="top"/>
            <w:vMerge w:val="restart"/>
            <w:tcBorders>
              <w:bottom w:val="nil"/>
            </w:tcBorders>
          </w:tcPr>
          <w:p>
            <w:pPr>
              <w:pStyle w:val="TableText"/>
              <w:ind w:left="156"/>
              <w:spacing w:before="201" w:line="219" w:lineRule="auto"/>
              <w:rPr/>
            </w:pPr>
            <w:r>
              <w:rPr>
                <w:color w:val="212529"/>
                <w:spacing w:val="-2"/>
              </w:rPr>
              <w:t>本年支出合计</w:t>
            </w:r>
          </w:p>
        </w:tc>
        <w:tc>
          <w:tcPr>
            <w:tcW w:w="1415" w:type="dxa"/>
            <w:vAlign w:val="top"/>
            <w:vMerge w:val="restart"/>
            <w:tcBorders>
              <w:bottom w:val="nil"/>
            </w:tcBorders>
          </w:tcPr>
          <w:p>
            <w:pPr>
              <w:pStyle w:val="TableText"/>
              <w:ind w:left="331"/>
              <w:spacing w:before="201" w:line="219" w:lineRule="auto"/>
              <w:rPr/>
            </w:pPr>
            <w:r>
              <w:rPr>
                <w:color w:val="212529"/>
                <w:spacing w:val="-3"/>
              </w:rPr>
              <w:t>基本支出</w:t>
            </w:r>
          </w:p>
        </w:tc>
        <w:tc>
          <w:tcPr>
            <w:tcW w:w="1247" w:type="dxa"/>
            <w:vAlign w:val="top"/>
            <w:vMerge w:val="restart"/>
            <w:tcBorders>
              <w:bottom w:val="nil"/>
            </w:tcBorders>
          </w:tcPr>
          <w:p>
            <w:pPr>
              <w:pStyle w:val="TableText"/>
              <w:ind w:left="251"/>
              <w:spacing w:before="201"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 w:line="206"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01" w:line="220" w:lineRule="auto"/>
              <w:rPr/>
            </w:pPr>
            <w:r>
              <w:rPr>
                <w:color w:val="212529"/>
                <w:spacing w:val="-3"/>
              </w:rPr>
              <w:t>经营支出</w:t>
            </w:r>
          </w:p>
        </w:tc>
        <w:tc>
          <w:tcPr>
            <w:tcW w:w="893" w:type="dxa"/>
            <w:vAlign w:val="top"/>
            <w:vMerge w:val="restart"/>
            <w:tcBorders>
              <w:bottom w:val="nil"/>
            </w:tcBorders>
          </w:tcPr>
          <w:p>
            <w:pPr>
              <w:pStyle w:val="TableText"/>
              <w:ind w:left="71"/>
              <w:spacing w:line="206"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03" w:lineRule="auto"/>
              <w:rPr/>
            </w:pPr>
            <w:r>
              <w:rPr>
                <w:color w:val="212529"/>
                <w:spacing w:val="-5"/>
              </w:rPr>
              <w:t>支出</w:t>
            </w:r>
          </w:p>
        </w:tc>
      </w:tr>
      <w:tr>
        <w:trPr>
          <w:trHeight w:val="314" w:hRule="atLeast"/>
        </w:trPr>
        <w:tc>
          <w:tcPr>
            <w:tcW w:w="1469" w:type="dxa"/>
            <w:vAlign w:val="top"/>
          </w:tcPr>
          <w:p>
            <w:pPr>
              <w:pStyle w:val="TableText"/>
              <w:ind w:left="357"/>
              <w:spacing w:before="45" w:line="219" w:lineRule="auto"/>
              <w:rPr/>
            </w:pPr>
            <w:r>
              <w:rPr>
                <w:color w:val="212529"/>
                <w:spacing w:val="-3"/>
              </w:rPr>
              <w:t>科目代码</w:t>
            </w:r>
          </w:p>
        </w:tc>
        <w:tc>
          <w:tcPr>
            <w:tcW w:w="1163" w:type="dxa"/>
            <w:vAlign w:val="top"/>
          </w:tcPr>
          <w:p>
            <w:pPr>
              <w:pStyle w:val="TableText"/>
              <w:ind w:left="202"/>
              <w:spacing w:before="45" w:line="219" w:lineRule="auto"/>
              <w:rPr/>
            </w:pPr>
            <w:r>
              <w:rPr>
                <w:color w:val="212529"/>
                <w:spacing w:val="-3"/>
              </w:rPr>
              <w:t>科目名称</w:t>
            </w:r>
          </w:p>
        </w:tc>
        <w:tc>
          <w:tcPr>
            <w:tcW w:w="1427" w:type="dxa"/>
            <w:vAlign w:val="top"/>
            <w:vMerge w:val="continue"/>
            <w:tcBorders>
              <w:top w:val="nil"/>
            </w:tcBorders>
          </w:tcPr>
          <w:p>
            <w:pPr>
              <w:rPr>
                <w:rFonts w:ascii="Arial"/>
                <w:sz w:val="21"/>
              </w:rPr>
            </w:pPr>
            <w:r/>
          </w:p>
        </w:tc>
        <w:tc>
          <w:tcPr>
            <w:tcW w:w="1415"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290" w:hRule="atLeast"/>
        </w:trPr>
        <w:tc>
          <w:tcPr>
            <w:tcW w:w="2632" w:type="dxa"/>
            <w:vAlign w:val="top"/>
            <w:gridSpan w:val="2"/>
          </w:tcPr>
          <w:p>
            <w:pPr>
              <w:pStyle w:val="TableText"/>
              <w:ind w:left="1119"/>
              <w:spacing w:before="34" w:line="219" w:lineRule="auto"/>
              <w:rPr/>
            </w:pPr>
            <w:r>
              <w:rPr>
                <w:color w:val="212529"/>
                <w:spacing w:val="-5"/>
              </w:rPr>
              <w:t>栏次</w:t>
            </w:r>
          </w:p>
        </w:tc>
        <w:tc>
          <w:tcPr>
            <w:tcW w:w="1427" w:type="dxa"/>
            <w:vAlign w:val="top"/>
          </w:tcPr>
          <w:p>
            <w:pPr>
              <w:ind w:left="659"/>
              <w:spacing w:before="70" w:line="195" w:lineRule="auto"/>
              <w:rPr>
                <w:rFonts w:ascii="Arial" w:hAnsi="Arial" w:eastAsia="Arial" w:cs="Arial"/>
                <w:sz w:val="18"/>
                <w:szCs w:val="18"/>
              </w:rPr>
            </w:pPr>
            <w:r>
              <w:rPr>
                <w:rFonts w:ascii="Arial" w:hAnsi="Arial" w:eastAsia="Arial" w:cs="Arial"/>
                <w:sz w:val="18"/>
                <w:szCs w:val="18"/>
                <w:b/>
                <w:bCs/>
                <w:color w:val="212529"/>
              </w:rPr>
              <w:t>1</w:t>
            </w:r>
          </w:p>
        </w:tc>
        <w:tc>
          <w:tcPr>
            <w:tcW w:w="1415" w:type="dxa"/>
            <w:vAlign w:val="top"/>
          </w:tcPr>
          <w:p>
            <w:pPr>
              <w:ind w:left="647"/>
              <w:spacing w:before="67" w:line="198" w:lineRule="auto"/>
              <w:rPr>
                <w:rFonts w:ascii="Arial" w:hAnsi="Arial" w:eastAsia="Arial" w:cs="Arial"/>
                <w:sz w:val="18"/>
                <w:szCs w:val="18"/>
              </w:rPr>
            </w:pPr>
            <w:r>
              <w:rPr>
                <w:rFonts w:ascii="Arial" w:hAnsi="Arial" w:eastAsia="Arial" w:cs="Arial"/>
                <w:sz w:val="18"/>
                <w:szCs w:val="18"/>
                <w:b/>
                <w:bCs/>
                <w:color w:val="212529"/>
              </w:rPr>
              <w:t>2</w:t>
            </w:r>
          </w:p>
        </w:tc>
        <w:tc>
          <w:tcPr>
            <w:tcW w:w="1247" w:type="dxa"/>
            <w:vAlign w:val="top"/>
          </w:tcPr>
          <w:p>
            <w:pPr>
              <w:ind w:left="564"/>
              <w:spacing w:before="67"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70"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70"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67"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290" w:hRule="atLeast"/>
        </w:trPr>
        <w:tc>
          <w:tcPr>
            <w:tcW w:w="2632" w:type="dxa"/>
            <w:vAlign w:val="top"/>
            <w:gridSpan w:val="2"/>
          </w:tcPr>
          <w:p>
            <w:pPr>
              <w:pStyle w:val="TableText"/>
              <w:ind w:left="1120"/>
              <w:spacing w:before="33" w:line="221" w:lineRule="auto"/>
              <w:rPr/>
            </w:pPr>
            <w:r>
              <w:rPr>
                <w:color w:val="212529"/>
                <w:spacing w:val="-5"/>
              </w:rPr>
              <w:t>合计</w:t>
            </w:r>
          </w:p>
        </w:tc>
        <w:tc>
          <w:tcPr>
            <w:tcW w:w="1427" w:type="dxa"/>
            <w:vAlign w:val="top"/>
          </w:tcPr>
          <w:p>
            <w:pPr>
              <w:pStyle w:val="TableText"/>
              <w:ind w:right="26"/>
              <w:spacing w:before="61" w:line="184" w:lineRule="auto"/>
              <w:jc w:val="right"/>
              <w:rPr/>
            </w:pPr>
            <w:r>
              <w:rPr>
                <w:color w:val="212529"/>
                <w:spacing w:val="-3"/>
              </w:rPr>
              <w:t>1,240.80</w:t>
            </w:r>
          </w:p>
        </w:tc>
        <w:tc>
          <w:tcPr>
            <w:tcW w:w="1415" w:type="dxa"/>
            <w:vAlign w:val="top"/>
          </w:tcPr>
          <w:p>
            <w:pPr>
              <w:pStyle w:val="TableText"/>
              <w:ind w:right="25"/>
              <w:spacing w:before="61" w:line="184" w:lineRule="auto"/>
              <w:jc w:val="right"/>
              <w:rPr/>
            </w:pPr>
            <w:r>
              <w:rPr>
                <w:color w:val="212529"/>
                <w:spacing w:val="-3"/>
              </w:rPr>
              <w:t>1,020.21</w:t>
            </w:r>
          </w:p>
        </w:tc>
        <w:tc>
          <w:tcPr>
            <w:tcW w:w="1247" w:type="dxa"/>
            <w:vAlign w:val="top"/>
          </w:tcPr>
          <w:p>
            <w:pPr>
              <w:pStyle w:val="TableText"/>
              <w:ind w:right="23"/>
              <w:spacing w:before="62" w:line="183" w:lineRule="auto"/>
              <w:jc w:val="right"/>
              <w:rPr/>
            </w:pPr>
            <w:r>
              <w:rPr>
                <w:color w:val="212529"/>
                <w:spacing w:val="-2"/>
              </w:rPr>
              <w:t>220.60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4"/>
              </w:rPr>
              <w:t>205</w:t>
            </w:r>
          </w:p>
        </w:tc>
        <w:tc>
          <w:tcPr>
            <w:tcW w:w="1163" w:type="dxa"/>
            <w:vAlign w:val="top"/>
          </w:tcPr>
          <w:p>
            <w:pPr>
              <w:pStyle w:val="TableText"/>
              <w:ind w:left="6"/>
              <w:spacing w:before="34" w:line="219" w:lineRule="auto"/>
              <w:rPr/>
            </w:pPr>
            <w:r>
              <w:rPr>
                <w:color w:val="212529"/>
                <w:spacing w:val="-3"/>
              </w:rPr>
              <w:t>教育支出</w:t>
            </w:r>
          </w:p>
        </w:tc>
        <w:tc>
          <w:tcPr>
            <w:tcW w:w="1427" w:type="dxa"/>
            <w:vAlign w:val="top"/>
          </w:tcPr>
          <w:p>
            <w:pPr>
              <w:pStyle w:val="TableText"/>
              <w:ind w:right="26"/>
              <w:spacing w:before="62" w:line="183" w:lineRule="auto"/>
              <w:jc w:val="right"/>
              <w:rPr/>
            </w:pPr>
            <w:r>
              <w:rPr>
                <w:color w:val="212529"/>
                <w:spacing w:val="-2"/>
              </w:rPr>
              <w:t>899.26</w:t>
            </w:r>
          </w:p>
        </w:tc>
        <w:tc>
          <w:tcPr>
            <w:tcW w:w="1415" w:type="dxa"/>
            <w:vAlign w:val="top"/>
          </w:tcPr>
          <w:p>
            <w:pPr>
              <w:pStyle w:val="TableText"/>
              <w:ind w:right="25"/>
              <w:spacing w:before="62" w:line="183" w:lineRule="auto"/>
              <w:jc w:val="right"/>
              <w:rPr/>
            </w:pPr>
            <w:r>
              <w:rPr>
                <w:color w:val="212529"/>
                <w:spacing w:val="-2"/>
              </w:rPr>
              <w:t>680.94</w:t>
            </w:r>
          </w:p>
        </w:tc>
        <w:tc>
          <w:tcPr>
            <w:tcW w:w="1247" w:type="dxa"/>
            <w:vAlign w:val="top"/>
          </w:tcPr>
          <w:p>
            <w:pPr>
              <w:pStyle w:val="TableText"/>
              <w:ind w:right="23"/>
              <w:spacing w:before="61" w:line="184" w:lineRule="auto"/>
              <w:jc w:val="right"/>
              <w:rPr/>
            </w:pPr>
            <w:r>
              <w:rPr>
                <w:color w:val="212529"/>
                <w:spacing w:val="-2"/>
              </w:rPr>
              <w:t>218.32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2"/>
              </w:rPr>
              <w:t>20502</w:t>
            </w:r>
          </w:p>
        </w:tc>
        <w:tc>
          <w:tcPr>
            <w:tcW w:w="1163" w:type="dxa"/>
            <w:vAlign w:val="top"/>
          </w:tcPr>
          <w:p>
            <w:pPr>
              <w:pStyle w:val="TableText"/>
              <w:ind w:left="3"/>
              <w:spacing w:before="34" w:line="219" w:lineRule="auto"/>
              <w:rPr/>
            </w:pPr>
            <w:r>
              <w:rPr>
                <w:color w:val="212529"/>
                <w:spacing w:val="-2"/>
              </w:rPr>
              <w:t>普通教育</w:t>
            </w:r>
          </w:p>
        </w:tc>
        <w:tc>
          <w:tcPr>
            <w:tcW w:w="1427" w:type="dxa"/>
            <w:vAlign w:val="top"/>
          </w:tcPr>
          <w:p>
            <w:pPr>
              <w:pStyle w:val="TableText"/>
              <w:ind w:right="26"/>
              <w:spacing w:before="62" w:line="183" w:lineRule="auto"/>
              <w:jc w:val="right"/>
              <w:rPr/>
            </w:pPr>
            <w:r>
              <w:rPr>
                <w:color w:val="212529"/>
                <w:spacing w:val="-2"/>
              </w:rPr>
              <w:t>899.26</w:t>
            </w:r>
          </w:p>
        </w:tc>
        <w:tc>
          <w:tcPr>
            <w:tcW w:w="1415" w:type="dxa"/>
            <w:vAlign w:val="top"/>
          </w:tcPr>
          <w:p>
            <w:pPr>
              <w:pStyle w:val="TableText"/>
              <w:ind w:right="25"/>
              <w:spacing w:before="62" w:line="183" w:lineRule="auto"/>
              <w:jc w:val="right"/>
              <w:rPr/>
            </w:pPr>
            <w:r>
              <w:rPr>
                <w:color w:val="212529"/>
                <w:spacing w:val="-2"/>
              </w:rPr>
              <w:t>680.94</w:t>
            </w:r>
          </w:p>
        </w:tc>
        <w:tc>
          <w:tcPr>
            <w:tcW w:w="1247" w:type="dxa"/>
            <w:vAlign w:val="top"/>
          </w:tcPr>
          <w:p>
            <w:pPr>
              <w:pStyle w:val="TableText"/>
              <w:ind w:right="23"/>
              <w:spacing w:before="61" w:line="184" w:lineRule="auto"/>
              <w:jc w:val="right"/>
              <w:rPr/>
            </w:pPr>
            <w:r>
              <w:rPr>
                <w:color w:val="212529"/>
                <w:spacing w:val="-2"/>
              </w:rPr>
              <w:t>218.32</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1" w:line="184" w:lineRule="auto"/>
              <w:rPr/>
            </w:pPr>
            <w:r>
              <w:rPr>
                <w:color w:val="212529"/>
                <w:spacing w:val="-2"/>
              </w:rPr>
              <w:t>2050201</w:t>
            </w:r>
          </w:p>
        </w:tc>
        <w:tc>
          <w:tcPr>
            <w:tcW w:w="1163" w:type="dxa"/>
            <w:vAlign w:val="top"/>
          </w:tcPr>
          <w:p>
            <w:pPr>
              <w:pStyle w:val="TableText"/>
              <w:ind w:left="8"/>
              <w:spacing w:before="34" w:line="219" w:lineRule="auto"/>
              <w:rPr/>
            </w:pPr>
            <w:r>
              <w:rPr>
                <w:color w:val="212529"/>
                <w:spacing w:val="-3"/>
              </w:rPr>
              <w:t>学前教育</w:t>
            </w:r>
          </w:p>
        </w:tc>
        <w:tc>
          <w:tcPr>
            <w:tcW w:w="1427" w:type="dxa"/>
            <w:vAlign w:val="top"/>
          </w:tcPr>
          <w:p>
            <w:pPr>
              <w:pStyle w:val="TableText"/>
              <w:ind w:left="955"/>
              <w:spacing w:before="61" w:line="184" w:lineRule="auto"/>
              <w:rPr/>
            </w:pPr>
            <w:r>
              <w:rPr>
                <w:color w:val="212529"/>
                <w:spacing w:val="-5"/>
              </w:rPr>
              <w:t>13.78</w:t>
            </w:r>
          </w:p>
        </w:tc>
        <w:tc>
          <w:tcPr>
            <w:tcW w:w="1415" w:type="dxa"/>
            <w:vAlign w:val="top"/>
          </w:tcPr>
          <w:p>
            <w:pPr>
              <w:rPr>
                <w:rFonts w:ascii="Arial"/>
                <w:sz w:val="21"/>
              </w:rPr>
            </w:pPr>
            <w:r/>
          </w:p>
        </w:tc>
        <w:tc>
          <w:tcPr>
            <w:tcW w:w="1247" w:type="dxa"/>
            <w:vAlign w:val="top"/>
          </w:tcPr>
          <w:p>
            <w:pPr>
              <w:pStyle w:val="TableText"/>
              <w:ind w:left="778"/>
              <w:spacing w:before="61" w:line="184" w:lineRule="auto"/>
              <w:rPr/>
            </w:pPr>
            <w:r>
              <w:rPr>
                <w:color w:val="212529"/>
                <w:spacing w:val="-5"/>
              </w:rPr>
              <w:t>13.78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2" w:line="183" w:lineRule="auto"/>
              <w:rPr/>
            </w:pPr>
            <w:r>
              <w:rPr>
                <w:color w:val="212529"/>
                <w:spacing w:val="-2"/>
              </w:rPr>
              <w:t>2050202</w:t>
            </w:r>
          </w:p>
        </w:tc>
        <w:tc>
          <w:tcPr>
            <w:tcW w:w="1163" w:type="dxa"/>
            <w:vAlign w:val="top"/>
          </w:tcPr>
          <w:p>
            <w:pPr>
              <w:pStyle w:val="TableText"/>
              <w:ind w:left="9"/>
              <w:spacing w:before="34" w:line="219" w:lineRule="auto"/>
              <w:rPr/>
            </w:pPr>
            <w:r>
              <w:rPr>
                <w:color w:val="212529"/>
                <w:spacing w:val="-4"/>
              </w:rPr>
              <w:t>小学教育</w:t>
            </w:r>
          </w:p>
        </w:tc>
        <w:tc>
          <w:tcPr>
            <w:tcW w:w="1427" w:type="dxa"/>
            <w:vAlign w:val="top"/>
          </w:tcPr>
          <w:p>
            <w:pPr>
              <w:pStyle w:val="TableText"/>
              <w:ind w:right="26"/>
              <w:spacing w:before="62" w:line="183" w:lineRule="auto"/>
              <w:jc w:val="right"/>
              <w:rPr/>
            </w:pPr>
            <w:r>
              <w:rPr>
                <w:color w:val="212529"/>
                <w:spacing w:val="-2"/>
              </w:rPr>
              <w:t>789.04</w:t>
            </w:r>
          </w:p>
        </w:tc>
        <w:tc>
          <w:tcPr>
            <w:tcW w:w="1415" w:type="dxa"/>
            <w:vAlign w:val="top"/>
          </w:tcPr>
          <w:p>
            <w:pPr>
              <w:pStyle w:val="TableText"/>
              <w:ind w:right="25"/>
              <w:spacing w:before="62" w:line="183" w:lineRule="auto"/>
              <w:jc w:val="right"/>
              <w:rPr/>
            </w:pPr>
            <w:r>
              <w:rPr>
                <w:color w:val="212529"/>
                <w:spacing w:val="-2"/>
              </w:rPr>
              <w:t>680.94</w:t>
            </w:r>
          </w:p>
        </w:tc>
        <w:tc>
          <w:tcPr>
            <w:tcW w:w="1247" w:type="dxa"/>
            <w:vAlign w:val="top"/>
          </w:tcPr>
          <w:p>
            <w:pPr>
              <w:pStyle w:val="TableText"/>
              <w:ind w:right="23"/>
              <w:spacing w:before="61" w:line="184" w:lineRule="auto"/>
              <w:jc w:val="right"/>
              <w:rPr/>
            </w:pPr>
            <w:r>
              <w:rPr>
                <w:color w:val="212529"/>
                <w:spacing w:val="-4"/>
              </w:rPr>
              <w:t>108.10</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3" w:line="183" w:lineRule="auto"/>
              <w:rPr/>
            </w:pPr>
            <w:r>
              <w:rPr>
                <w:color w:val="212529"/>
                <w:spacing w:val="-2"/>
              </w:rPr>
              <w:t>2050299</w:t>
            </w:r>
          </w:p>
        </w:tc>
        <w:tc>
          <w:tcPr>
            <w:tcW w:w="1163" w:type="dxa"/>
            <w:vAlign w:val="top"/>
          </w:tcPr>
          <w:p>
            <w:pPr>
              <w:pStyle w:val="TableText"/>
              <w:ind w:left="5" w:right="76"/>
              <w:spacing w:before="1" w:line="204" w:lineRule="auto"/>
              <w:rPr/>
            </w:pPr>
            <w:r>
              <w:rPr>
                <w:color w:val="212529"/>
                <w:spacing w:val="-2"/>
              </w:rPr>
              <w:t>其他普通教育</w:t>
            </w:r>
            <w:r>
              <w:rPr>
                <w:color w:val="212529"/>
                <w:spacing w:val="2"/>
              </w:rPr>
              <w:t xml:space="preserve"> </w:t>
            </w:r>
            <w:r>
              <w:rPr>
                <w:color w:val="212529"/>
                <w:spacing w:val="-5"/>
              </w:rPr>
              <w:t>支出</w:t>
            </w:r>
          </w:p>
        </w:tc>
        <w:tc>
          <w:tcPr>
            <w:tcW w:w="1427" w:type="dxa"/>
            <w:vAlign w:val="top"/>
          </w:tcPr>
          <w:p>
            <w:pPr>
              <w:pStyle w:val="TableText"/>
              <w:ind w:left="942"/>
              <w:spacing w:before="122" w:line="183" w:lineRule="auto"/>
              <w:rPr/>
            </w:pPr>
            <w:r>
              <w:rPr>
                <w:color w:val="212529"/>
                <w:spacing w:val="-2"/>
              </w:rPr>
              <w:t>96.45</w:t>
            </w:r>
          </w:p>
        </w:tc>
        <w:tc>
          <w:tcPr>
            <w:tcW w:w="1415" w:type="dxa"/>
            <w:vAlign w:val="top"/>
          </w:tcPr>
          <w:p>
            <w:pPr>
              <w:rPr>
                <w:rFonts w:ascii="Arial"/>
                <w:sz w:val="21"/>
              </w:rPr>
            </w:pPr>
            <w:r/>
          </w:p>
        </w:tc>
        <w:tc>
          <w:tcPr>
            <w:tcW w:w="1247" w:type="dxa"/>
            <w:vAlign w:val="top"/>
          </w:tcPr>
          <w:p>
            <w:pPr>
              <w:pStyle w:val="TableText"/>
              <w:ind w:left="765"/>
              <w:spacing w:before="122" w:line="183" w:lineRule="auto"/>
              <w:rPr/>
            </w:pPr>
            <w:r>
              <w:rPr>
                <w:color w:val="212529"/>
                <w:spacing w:val="-2"/>
              </w:rPr>
              <w:t>96.45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4" w:line="183" w:lineRule="auto"/>
              <w:rPr/>
            </w:pPr>
            <w:r>
              <w:rPr>
                <w:color w:val="212529"/>
                <w:spacing w:val="-4"/>
              </w:rPr>
              <w:t>208</w:t>
            </w:r>
          </w:p>
        </w:tc>
        <w:tc>
          <w:tcPr>
            <w:tcW w:w="1163" w:type="dxa"/>
            <w:vAlign w:val="top"/>
          </w:tcPr>
          <w:p>
            <w:pPr>
              <w:pStyle w:val="TableText"/>
              <w:ind w:left="3" w:right="76"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27" w:type="dxa"/>
            <w:vAlign w:val="top"/>
          </w:tcPr>
          <w:p>
            <w:pPr>
              <w:pStyle w:val="TableText"/>
              <w:ind w:right="26"/>
              <w:spacing w:before="123" w:line="183" w:lineRule="auto"/>
              <w:jc w:val="right"/>
              <w:rPr/>
            </w:pPr>
            <w:r>
              <w:rPr>
                <w:color w:val="212529"/>
                <w:spacing w:val="-2"/>
              </w:rPr>
              <w:t>260.38</w:t>
            </w:r>
          </w:p>
        </w:tc>
        <w:tc>
          <w:tcPr>
            <w:tcW w:w="1415" w:type="dxa"/>
            <w:vAlign w:val="top"/>
          </w:tcPr>
          <w:p>
            <w:pPr>
              <w:pStyle w:val="TableText"/>
              <w:ind w:right="25"/>
              <w:spacing w:before="123" w:line="183" w:lineRule="auto"/>
              <w:jc w:val="right"/>
              <w:rPr/>
            </w:pPr>
            <w:r>
              <w:rPr>
                <w:color w:val="212529"/>
                <w:spacing w:val="-2"/>
              </w:rPr>
              <w:t>260.38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5" w:line="183" w:lineRule="auto"/>
              <w:rPr/>
            </w:pPr>
            <w:r>
              <w:rPr>
                <w:color w:val="212529"/>
                <w:spacing w:val="-2"/>
              </w:rPr>
              <w:t>20805</w:t>
            </w:r>
          </w:p>
        </w:tc>
        <w:tc>
          <w:tcPr>
            <w:tcW w:w="1163" w:type="dxa"/>
            <w:vAlign w:val="top"/>
          </w:tcPr>
          <w:p>
            <w:pPr>
              <w:pStyle w:val="TableText"/>
              <w:ind w:left="5" w:right="76"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27" w:type="dxa"/>
            <w:vAlign w:val="top"/>
          </w:tcPr>
          <w:p>
            <w:pPr>
              <w:pStyle w:val="TableText"/>
              <w:ind w:right="26"/>
              <w:spacing w:before="125" w:line="183" w:lineRule="auto"/>
              <w:jc w:val="right"/>
              <w:rPr/>
            </w:pPr>
            <w:r>
              <w:rPr>
                <w:color w:val="212529"/>
                <w:spacing w:val="-2"/>
              </w:rPr>
              <w:t>260.38</w:t>
            </w:r>
          </w:p>
        </w:tc>
        <w:tc>
          <w:tcPr>
            <w:tcW w:w="1415" w:type="dxa"/>
            <w:vAlign w:val="top"/>
          </w:tcPr>
          <w:p>
            <w:pPr>
              <w:pStyle w:val="TableText"/>
              <w:ind w:right="25"/>
              <w:spacing w:before="125" w:line="183" w:lineRule="auto"/>
              <w:jc w:val="right"/>
              <w:rPr/>
            </w:pPr>
            <w:r>
              <w:rPr>
                <w:color w:val="212529"/>
                <w:spacing w:val="-2"/>
              </w:rPr>
              <w:t>260.38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6" w:line="183" w:lineRule="auto"/>
              <w:rPr/>
            </w:pPr>
            <w:r>
              <w:rPr>
                <w:color w:val="212529"/>
                <w:spacing w:val="-2"/>
              </w:rPr>
              <w:t>2080502</w:t>
            </w:r>
          </w:p>
        </w:tc>
        <w:tc>
          <w:tcPr>
            <w:tcW w:w="1163" w:type="dxa"/>
            <w:vAlign w:val="top"/>
          </w:tcPr>
          <w:p>
            <w:pPr>
              <w:pStyle w:val="TableText"/>
              <w:ind w:left="2" w:right="76" w:firstLine="1"/>
              <w:spacing w:before="1" w:line="204" w:lineRule="auto"/>
              <w:rPr/>
            </w:pPr>
            <w:r>
              <w:rPr>
                <w:color w:val="212529"/>
                <w:spacing w:val="-2"/>
              </w:rPr>
              <w:t>事业单位离退</w:t>
            </w:r>
            <w:r>
              <w:rPr>
                <w:color w:val="212529"/>
                <w:spacing w:val="2"/>
              </w:rPr>
              <w:t xml:space="preserve"> </w:t>
            </w:r>
            <w:r>
              <w:rPr>
                <w:color w:val="212529"/>
              </w:rPr>
              <w:t>休</w:t>
            </w:r>
          </w:p>
        </w:tc>
        <w:tc>
          <w:tcPr>
            <w:tcW w:w="1427" w:type="dxa"/>
            <w:vAlign w:val="top"/>
          </w:tcPr>
          <w:p>
            <w:pPr>
              <w:pStyle w:val="TableText"/>
              <w:ind w:left="946"/>
              <w:spacing w:before="126" w:line="183" w:lineRule="auto"/>
              <w:rPr/>
            </w:pPr>
            <w:r>
              <w:rPr>
                <w:color w:val="212529"/>
                <w:spacing w:val="-3"/>
              </w:rPr>
              <w:t>72.56</w:t>
            </w:r>
          </w:p>
        </w:tc>
        <w:tc>
          <w:tcPr>
            <w:tcW w:w="1415" w:type="dxa"/>
            <w:vAlign w:val="top"/>
          </w:tcPr>
          <w:p>
            <w:pPr>
              <w:pStyle w:val="TableText"/>
              <w:ind w:left="935"/>
              <w:spacing w:before="126" w:line="183" w:lineRule="auto"/>
              <w:rPr/>
            </w:pPr>
            <w:r>
              <w:rPr>
                <w:color w:val="212529"/>
                <w:spacing w:val="-3"/>
              </w:rPr>
              <w:t>72.56</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5" w:line="183" w:lineRule="auto"/>
              <w:rPr/>
            </w:pPr>
            <w:r>
              <w:rPr>
                <w:color w:val="212529"/>
                <w:spacing w:val="-2"/>
              </w:rPr>
              <w:t>2080505</w:t>
            </w:r>
          </w:p>
        </w:tc>
        <w:tc>
          <w:tcPr>
            <w:tcW w:w="1163" w:type="dxa"/>
            <w:vAlign w:val="top"/>
          </w:tcPr>
          <w:p>
            <w:pPr>
              <w:pStyle w:val="TableText"/>
              <w:ind w:left="2" w:right="76"/>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pPr>
              <w:pStyle w:val="TableText"/>
              <w:ind w:left="946"/>
              <w:spacing w:before="235" w:line="183" w:lineRule="auto"/>
              <w:rPr/>
            </w:pPr>
            <w:r>
              <w:rPr>
                <w:color w:val="212529"/>
                <w:spacing w:val="-3"/>
              </w:rPr>
              <w:t>74.97</w:t>
            </w:r>
          </w:p>
        </w:tc>
        <w:tc>
          <w:tcPr>
            <w:tcW w:w="1415" w:type="dxa"/>
            <w:vAlign w:val="top"/>
          </w:tcPr>
          <w:p>
            <w:pPr>
              <w:pStyle w:val="TableText"/>
              <w:ind w:left="935"/>
              <w:spacing w:before="235" w:line="183" w:lineRule="auto"/>
              <w:rPr/>
            </w:pPr>
            <w:r>
              <w:rPr>
                <w:color w:val="212529"/>
                <w:spacing w:val="-3"/>
              </w:rPr>
              <w:t>74.97</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6" w:line="183" w:lineRule="auto"/>
              <w:rPr/>
            </w:pPr>
            <w:r>
              <w:rPr>
                <w:color w:val="212529"/>
                <w:spacing w:val="-2"/>
              </w:rPr>
              <w:t>2080506</w:t>
            </w:r>
          </w:p>
        </w:tc>
        <w:tc>
          <w:tcPr>
            <w:tcW w:w="1163" w:type="dxa"/>
            <w:vAlign w:val="top"/>
          </w:tcPr>
          <w:p>
            <w:pPr>
              <w:pStyle w:val="TableText"/>
              <w:ind w:left="4" w:right="76"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pPr>
              <w:pStyle w:val="TableText"/>
              <w:ind w:right="26"/>
              <w:spacing w:before="235" w:line="184" w:lineRule="auto"/>
              <w:jc w:val="right"/>
              <w:rPr/>
            </w:pPr>
            <w:r>
              <w:rPr>
                <w:color w:val="212529"/>
                <w:spacing w:val="-4"/>
              </w:rPr>
              <w:t>112.86</w:t>
            </w:r>
          </w:p>
        </w:tc>
        <w:tc>
          <w:tcPr>
            <w:tcW w:w="1415" w:type="dxa"/>
            <w:vAlign w:val="top"/>
          </w:tcPr>
          <w:p>
            <w:pPr>
              <w:pStyle w:val="TableText"/>
              <w:ind w:right="25"/>
              <w:spacing w:before="235" w:line="184" w:lineRule="auto"/>
              <w:jc w:val="right"/>
              <w:rPr/>
            </w:pPr>
            <w:r>
              <w:rPr>
                <w:color w:val="212529"/>
                <w:spacing w:val="-4"/>
              </w:rPr>
              <w:t>112.86</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8" w:line="184" w:lineRule="auto"/>
              <w:rPr/>
            </w:pPr>
            <w:r>
              <w:rPr>
                <w:color w:val="212529"/>
                <w:spacing w:val="-4"/>
              </w:rPr>
              <w:t>221</w:t>
            </w:r>
          </w:p>
        </w:tc>
        <w:tc>
          <w:tcPr>
            <w:tcW w:w="1163" w:type="dxa"/>
            <w:vAlign w:val="top"/>
          </w:tcPr>
          <w:p>
            <w:pPr>
              <w:pStyle w:val="TableText"/>
              <w:ind w:left="3"/>
              <w:spacing w:before="41" w:line="219" w:lineRule="auto"/>
              <w:rPr/>
            </w:pPr>
            <w:r>
              <w:rPr>
                <w:color w:val="212529"/>
                <w:spacing w:val="-2"/>
              </w:rPr>
              <w:t>住房保障支出</w:t>
            </w:r>
          </w:p>
        </w:tc>
        <w:tc>
          <w:tcPr>
            <w:tcW w:w="1427" w:type="dxa"/>
            <w:vAlign w:val="top"/>
          </w:tcPr>
          <w:p>
            <w:pPr>
              <w:pStyle w:val="TableText"/>
              <w:ind w:left="946"/>
              <w:spacing w:before="69" w:line="183" w:lineRule="auto"/>
              <w:rPr/>
            </w:pPr>
            <w:r>
              <w:rPr>
                <w:color w:val="212529"/>
                <w:spacing w:val="-3"/>
              </w:rPr>
              <w:t>78.88</w:t>
            </w:r>
          </w:p>
        </w:tc>
        <w:tc>
          <w:tcPr>
            <w:tcW w:w="1415" w:type="dxa"/>
            <w:vAlign w:val="top"/>
          </w:tcPr>
          <w:p>
            <w:pPr>
              <w:pStyle w:val="TableText"/>
              <w:ind w:left="935"/>
              <w:spacing w:before="69" w:line="183" w:lineRule="auto"/>
              <w:rPr/>
            </w:pPr>
            <w:r>
              <w:rPr>
                <w:color w:val="212529"/>
                <w:spacing w:val="-3"/>
              </w:rPr>
              <w:t>78.88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8" w:line="184" w:lineRule="auto"/>
              <w:rPr/>
            </w:pPr>
            <w:r>
              <w:rPr>
                <w:color w:val="212529"/>
                <w:spacing w:val="-2"/>
              </w:rPr>
              <w:t>22102</w:t>
            </w:r>
          </w:p>
        </w:tc>
        <w:tc>
          <w:tcPr>
            <w:tcW w:w="1163" w:type="dxa"/>
            <w:vAlign w:val="top"/>
          </w:tcPr>
          <w:p>
            <w:pPr>
              <w:pStyle w:val="TableText"/>
              <w:ind w:left="3"/>
              <w:spacing w:before="41" w:line="219" w:lineRule="auto"/>
              <w:rPr/>
            </w:pPr>
            <w:r>
              <w:rPr>
                <w:color w:val="212529"/>
                <w:spacing w:val="-2"/>
              </w:rPr>
              <w:t>住房改革支出</w:t>
            </w:r>
          </w:p>
        </w:tc>
        <w:tc>
          <w:tcPr>
            <w:tcW w:w="1427" w:type="dxa"/>
            <w:vAlign w:val="top"/>
          </w:tcPr>
          <w:p>
            <w:pPr>
              <w:pStyle w:val="TableText"/>
              <w:ind w:left="946"/>
              <w:spacing w:before="69" w:line="183" w:lineRule="auto"/>
              <w:rPr/>
            </w:pPr>
            <w:r>
              <w:rPr>
                <w:color w:val="212529"/>
                <w:spacing w:val="-3"/>
              </w:rPr>
              <w:t>78.88</w:t>
            </w:r>
          </w:p>
        </w:tc>
        <w:tc>
          <w:tcPr>
            <w:tcW w:w="1415" w:type="dxa"/>
            <w:vAlign w:val="top"/>
          </w:tcPr>
          <w:p>
            <w:pPr>
              <w:pStyle w:val="TableText"/>
              <w:ind w:left="935"/>
              <w:spacing w:before="69" w:line="183" w:lineRule="auto"/>
              <w:rPr/>
            </w:pPr>
            <w:r>
              <w:rPr>
                <w:color w:val="212529"/>
                <w:spacing w:val="-3"/>
              </w:rPr>
              <w:t>78.88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0" w:hRule="atLeast"/>
        </w:trPr>
        <w:tc>
          <w:tcPr>
            <w:tcW w:w="1469" w:type="dxa"/>
            <w:vAlign w:val="top"/>
          </w:tcPr>
          <w:p>
            <w:pPr>
              <w:pStyle w:val="TableText"/>
              <w:ind w:left="11"/>
              <w:spacing w:before="69" w:line="184" w:lineRule="auto"/>
              <w:rPr/>
            </w:pPr>
            <w:r>
              <w:rPr>
                <w:color w:val="212529"/>
                <w:spacing w:val="-2"/>
              </w:rPr>
              <w:t>2210201</w:t>
            </w:r>
          </w:p>
        </w:tc>
        <w:tc>
          <w:tcPr>
            <w:tcW w:w="1163" w:type="dxa"/>
            <w:vAlign w:val="top"/>
          </w:tcPr>
          <w:p>
            <w:pPr>
              <w:pStyle w:val="TableText"/>
              <w:ind w:left="3"/>
              <w:spacing w:before="41" w:line="220" w:lineRule="auto"/>
              <w:rPr/>
            </w:pPr>
            <w:r>
              <w:rPr>
                <w:color w:val="212529"/>
                <w:spacing w:val="-2"/>
              </w:rPr>
              <w:t>住房公积金</w:t>
            </w:r>
          </w:p>
        </w:tc>
        <w:tc>
          <w:tcPr>
            <w:tcW w:w="1427" w:type="dxa"/>
            <w:vAlign w:val="top"/>
          </w:tcPr>
          <w:p>
            <w:pPr>
              <w:pStyle w:val="TableText"/>
              <w:ind w:left="946"/>
              <w:spacing w:before="69" w:line="183" w:lineRule="auto"/>
              <w:rPr/>
            </w:pPr>
            <w:r>
              <w:rPr>
                <w:color w:val="212529"/>
                <w:spacing w:val="-3"/>
              </w:rPr>
              <w:t>78.88</w:t>
            </w:r>
          </w:p>
        </w:tc>
        <w:tc>
          <w:tcPr>
            <w:tcW w:w="1415" w:type="dxa"/>
            <w:vAlign w:val="top"/>
          </w:tcPr>
          <w:p>
            <w:pPr>
              <w:pStyle w:val="TableText"/>
              <w:ind w:left="935"/>
              <w:spacing w:before="69" w:line="183" w:lineRule="auto"/>
              <w:rPr/>
            </w:pPr>
            <w:r>
              <w:rPr>
                <w:color w:val="212529"/>
                <w:spacing w:val="-3"/>
              </w:rPr>
              <w:t>78.88</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4"/>
              </w:rPr>
              <w:t>224</w:t>
            </w:r>
          </w:p>
        </w:tc>
        <w:tc>
          <w:tcPr>
            <w:tcW w:w="1163" w:type="dxa"/>
            <w:vAlign w:val="top"/>
          </w:tcPr>
          <w:p>
            <w:pPr>
              <w:pStyle w:val="TableText"/>
              <w:ind w:left="9" w:right="76" w:hanging="1"/>
              <w:spacing w:before="5" w:line="202" w:lineRule="auto"/>
              <w:rPr/>
            </w:pPr>
            <w:r>
              <w:rPr>
                <w:color w:val="212529"/>
                <w:spacing w:val="-3"/>
              </w:rPr>
              <w:t>灾害防治及应</w:t>
            </w:r>
            <w:r>
              <w:rPr>
                <w:color w:val="212529"/>
                <w:spacing w:val="4"/>
              </w:rPr>
              <w:t xml:space="preserve"> </w:t>
            </w:r>
            <w:r>
              <w:rPr>
                <w:color w:val="212529"/>
                <w:spacing w:val="-3"/>
              </w:rPr>
              <w:t>急管理支出</w:t>
            </w:r>
          </w:p>
        </w:tc>
        <w:tc>
          <w:tcPr>
            <w:tcW w:w="1427" w:type="dxa"/>
            <w:vAlign w:val="top"/>
          </w:tcPr>
          <w:p>
            <w:pPr>
              <w:pStyle w:val="TableText"/>
              <w:ind w:right="26"/>
              <w:spacing w:before="129" w:line="183" w:lineRule="auto"/>
              <w:jc w:val="right"/>
              <w:rPr/>
            </w:pPr>
            <w:r>
              <w:rPr>
                <w:color w:val="212529"/>
                <w:spacing w:val="-3"/>
              </w:rPr>
              <w:t>2.27</w:t>
            </w:r>
          </w:p>
        </w:tc>
        <w:tc>
          <w:tcPr>
            <w:tcW w:w="1415" w:type="dxa"/>
            <w:vAlign w:val="top"/>
          </w:tcPr>
          <w:p>
            <w:pPr>
              <w:rPr>
                <w:rFonts w:ascii="Arial"/>
                <w:sz w:val="21"/>
              </w:rPr>
            </w:pPr>
            <w:r/>
          </w:p>
        </w:tc>
        <w:tc>
          <w:tcPr>
            <w:tcW w:w="1247" w:type="dxa"/>
            <w:vAlign w:val="top"/>
          </w:tcPr>
          <w:p>
            <w:pPr>
              <w:pStyle w:val="TableText"/>
              <w:ind w:right="23"/>
              <w:spacing w:before="129" w:line="183" w:lineRule="auto"/>
              <w:jc w:val="right"/>
              <w:rPr/>
            </w:pPr>
            <w:r>
              <w:rPr>
                <w:color w:val="212529"/>
                <w:spacing w:val="-3"/>
              </w:rPr>
              <w:t>2.27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613" w:hRule="atLeast"/>
        </w:trPr>
        <w:tc>
          <w:tcPr>
            <w:tcW w:w="1469" w:type="dxa"/>
            <w:vAlign w:val="top"/>
          </w:tcPr>
          <w:p>
            <w:pPr>
              <w:pStyle w:val="TableText"/>
              <w:ind w:left="11"/>
              <w:spacing w:before="239" w:line="183" w:lineRule="auto"/>
              <w:rPr/>
            </w:pPr>
            <w:r>
              <w:rPr>
                <w:color w:val="212529"/>
                <w:spacing w:val="-2"/>
              </w:rPr>
              <w:t>22407</w:t>
            </w:r>
          </w:p>
        </w:tc>
        <w:tc>
          <w:tcPr>
            <w:tcW w:w="1163" w:type="dxa"/>
            <w:vAlign w:val="top"/>
          </w:tcPr>
          <w:p>
            <w:pPr>
              <w:pStyle w:val="TableText"/>
              <w:ind w:left="3" w:right="76"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27" w:type="dxa"/>
            <w:vAlign w:val="top"/>
          </w:tcPr>
          <w:p>
            <w:pPr>
              <w:pStyle w:val="TableText"/>
              <w:ind w:right="26"/>
              <w:spacing w:before="239" w:line="183" w:lineRule="auto"/>
              <w:jc w:val="right"/>
              <w:rPr/>
            </w:pPr>
            <w:r>
              <w:rPr>
                <w:color w:val="212529"/>
                <w:spacing w:val="-3"/>
              </w:rPr>
              <w:t>2.27</w:t>
            </w:r>
          </w:p>
        </w:tc>
        <w:tc>
          <w:tcPr>
            <w:tcW w:w="1415" w:type="dxa"/>
            <w:vAlign w:val="top"/>
          </w:tcPr>
          <w:p>
            <w:pPr>
              <w:rPr>
                <w:rFonts w:ascii="Arial"/>
                <w:sz w:val="21"/>
              </w:rPr>
            </w:pPr>
            <w:r/>
          </w:p>
        </w:tc>
        <w:tc>
          <w:tcPr>
            <w:tcW w:w="1247" w:type="dxa"/>
            <w:vAlign w:val="top"/>
          </w:tcPr>
          <w:p>
            <w:pPr>
              <w:pStyle w:val="TableText"/>
              <w:ind w:right="23"/>
              <w:spacing w:before="239" w:line="183" w:lineRule="auto"/>
              <w:jc w:val="right"/>
              <w:rPr/>
            </w:pPr>
            <w:r>
              <w:rPr>
                <w:color w:val="212529"/>
                <w:spacing w:val="-3"/>
              </w:rPr>
              <w:t>2.27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10" w:hRule="atLeast"/>
        </w:trPr>
        <w:tc>
          <w:tcPr>
            <w:tcW w:w="1469" w:type="dxa"/>
            <w:vAlign w:val="top"/>
          </w:tcPr>
          <w:p>
            <w:pPr>
              <w:pStyle w:val="TableText"/>
              <w:ind w:left="11"/>
              <w:spacing w:before="132" w:line="183" w:lineRule="auto"/>
              <w:rPr/>
            </w:pPr>
            <w:r>
              <w:rPr>
                <w:color w:val="212529"/>
                <w:spacing w:val="-2"/>
              </w:rPr>
              <w:t>2240704</w:t>
            </w:r>
          </w:p>
        </w:tc>
        <w:tc>
          <w:tcPr>
            <w:tcW w:w="1163" w:type="dxa"/>
            <w:vAlign w:val="top"/>
          </w:tcPr>
          <w:p>
            <w:pPr>
              <w:pStyle w:val="TableText"/>
              <w:ind w:left="5" w:right="76" w:firstLine="28"/>
              <w:spacing w:before="8" w:line="201" w:lineRule="auto"/>
              <w:rPr/>
            </w:pPr>
            <w:r>
              <w:rPr>
                <w:color w:val="212529"/>
                <w:spacing w:val="-7"/>
              </w:rPr>
              <w:t>自然灾害灾后</w:t>
            </w:r>
            <w:r>
              <w:rPr>
                <w:color w:val="212529"/>
                <w:spacing w:val="3"/>
              </w:rPr>
              <w:t xml:space="preserve"> </w:t>
            </w:r>
            <w:r>
              <w:rPr>
                <w:color w:val="212529"/>
                <w:spacing w:val="-3"/>
              </w:rPr>
              <w:t>重建补助</w:t>
            </w:r>
          </w:p>
        </w:tc>
        <w:tc>
          <w:tcPr>
            <w:tcW w:w="1427" w:type="dxa"/>
            <w:vAlign w:val="top"/>
          </w:tcPr>
          <w:p>
            <w:pPr>
              <w:pStyle w:val="TableText"/>
              <w:ind w:right="26"/>
              <w:spacing w:before="132" w:line="183" w:lineRule="auto"/>
              <w:jc w:val="right"/>
              <w:rPr/>
            </w:pPr>
            <w:r>
              <w:rPr>
                <w:color w:val="212529"/>
                <w:spacing w:val="-3"/>
              </w:rPr>
              <w:t>2.27</w:t>
            </w:r>
          </w:p>
        </w:tc>
        <w:tc>
          <w:tcPr>
            <w:tcW w:w="1415" w:type="dxa"/>
            <w:vAlign w:val="top"/>
          </w:tcPr>
          <w:p>
            <w:pPr>
              <w:rPr>
                <w:rFonts w:ascii="Arial"/>
                <w:sz w:val="21"/>
              </w:rPr>
            </w:pPr>
            <w:r/>
          </w:p>
        </w:tc>
        <w:tc>
          <w:tcPr>
            <w:tcW w:w="1247" w:type="dxa"/>
            <w:vAlign w:val="top"/>
          </w:tcPr>
          <w:p>
            <w:pPr>
              <w:pStyle w:val="TableText"/>
              <w:ind w:right="23"/>
              <w:spacing w:before="132" w:line="183" w:lineRule="auto"/>
              <w:jc w:val="right"/>
              <w:rPr/>
            </w:pPr>
            <w:r>
              <w:rPr>
                <w:color w:val="212529"/>
                <w:spacing w:val="-3"/>
              </w:rPr>
              <w:t>2.27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296" w:hRule="atLeast"/>
        </w:trPr>
        <w:tc>
          <w:tcPr>
            <w:tcW w:w="9016" w:type="dxa"/>
            <w:vAlign w:val="top"/>
            <w:gridSpan w:val="8"/>
            <w:tcBorders>
              <w:bottom w:val="single" w:color="FFFFFF" w:sz="4" w:space="0"/>
              <w:left w:val="single" w:color="000000" w:sz="2" w:space="0"/>
              <w:right w:val="nil"/>
            </w:tcBorders>
          </w:tcPr>
          <w:p>
            <w:pPr>
              <w:ind w:left="7"/>
              <w:spacing w:before="5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rPr>
          <w:rFonts w:ascii="Arial"/>
          <w:sz w:val="21"/>
        </w:rPr>
      </w:pPr>
      <w:r/>
    </w:p>
    <w:p>
      <w:pPr>
        <w:sectPr>
          <w:footerReference w:type="default" r:id="rId6"/>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部门名称：古县古阳镇中心学校</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1,240.80</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pStyle w:val="TableText"/>
              <w:ind w:right="23"/>
              <w:spacing w:before="139" w:line="183" w:lineRule="auto"/>
              <w:jc w:val="right"/>
              <w:rPr/>
            </w:pPr>
            <w:r>
              <w:rPr>
                <w:color w:val="212529"/>
                <w:spacing w:val="-2"/>
              </w:rPr>
              <w:t>899.26</w:t>
            </w:r>
          </w:p>
        </w:tc>
        <w:tc>
          <w:tcPr>
            <w:tcW w:w="1295" w:type="dxa"/>
            <w:vAlign w:val="top"/>
          </w:tcPr>
          <w:p>
            <w:pPr>
              <w:pStyle w:val="TableText"/>
              <w:ind w:right="22"/>
              <w:spacing w:before="139" w:line="183" w:lineRule="auto"/>
              <w:jc w:val="right"/>
              <w:rPr/>
            </w:pPr>
            <w:r>
              <w:rPr>
                <w:color w:val="212529"/>
                <w:spacing w:val="-2"/>
              </w:rPr>
              <w:t>899.26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40" w:line="183" w:lineRule="auto"/>
              <w:jc w:val="right"/>
              <w:rPr/>
            </w:pPr>
            <w:r>
              <w:rPr>
                <w:color w:val="212529"/>
                <w:spacing w:val="-2"/>
              </w:rPr>
              <w:t>260.38</w:t>
            </w:r>
          </w:p>
        </w:tc>
        <w:tc>
          <w:tcPr>
            <w:tcW w:w="1295" w:type="dxa"/>
            <w:vAlign w:val="top"/>
          </w:tcPr>
          <w:p>
            <w:pPr>
              <w:pStyle w:val="TableText"/>
              <w:ind w:right="22"/>
              <w:spacing w:before="140" w:line="183" w:lineRule="auto"/>
              <w:jc w:val="right"/>
              <w:rPr/>
            </w:pPr>
            <w:r>
              <w:rPr>
                <w:color w:val="212529"/>
                <w:spacing w:val="-2"/>
              </w:rPr>
              <w:t>260.38</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40"/>
              <w:spacing w:before="142" w:line="183" w:lineRule="auto"/>
              <w:rPr/>
            </w:pPr>
            <w:r>
              <w:rPr>
                <w:color w:val="212529"/>
                <w:spacing w:val="-3"/>
              </w:rPr>
              <w:t>78.88</w:t>
            </w:r>
          </w:p>
        </w:tc>
        <w:tc>
          <w:tcPr>
            <w:tcW w:w="1295" w:type="dxa"/>
            <w:vAlign w:val="top"/>
          </w:tcPr>
          <w:p>
            <w:pPr>
              <w:pStyle w:val="TableText"/>
              <w:ind w:left="818"/>
              <w:spacing w:before="142" w:line="183" w:lineRule="auto"/>
              <w:rPr/>
            </w:pPr>
            <w:r>
              <w:rPr>
                <w:color w:val="212529"/>
                <w:spacing w:val="-3"/>
              </w:rPr>
              <w:t>78.88</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pStyle w:val="TableText"/>
              <w:ind w:right="23"/>
              <w:spacing w:before="142" w:line="183" w:lineRule="auto"/>
              <w:jc w:val="right"/>
              <w:rPr/>
            </w:pPr>
            <w:r>
              <w:rPr>
                <w:color w:val="212529"/>
                <w:spacing w:val="-3"/>
              </w:rPr>
              <w:t>2.27</w:t>
            </w:r>
          </w:p>
        </w:tc>
        <w:tc>
          <w:tcPr>
            <w:tcW w:w="1295" w:type="dxa"/>
            <w:vAlign w:val="top"/>
          </w:tcPr>
          <w:p>
            <w:pPr>
              <w:pStyle w:val="TableText"/>
              <w:ind w:right="22"/>
              <w:spacing w:before="142" w:line="183" w:lineRule="auto"/>
              <w:jc w:val="right"/>
              <w:rPr/>
            </w:pPr>
            <w:r>
              <w:rPr>
                <w:color w:val="212529"/>
                <w:spacing w:val="-3"/>
              </w:rPr>
              <w:t>2.27</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rPr>
          <w:rFonts w:ascii="Arial"/>
          <w:sz w:val="21"/>
        </w:rPr>
      </w:pPr>
      <w:r/>
    </w:p>
    <w:p>
      <w:pPr>
        <w:sectPr>
          <w:footerReference w:type="default" r:id="rId7"/>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1,240.80</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1,240.80</w:t>
            </w:r>
          </w:p>
        </w:tc>
        <w:tc>
          <w:tcPr>
            <w:tcW w:w="1295" w:type="dxa"/>
            <w:vAlign w:val="top"/>
          </w:tcPr>
          <w:p>
            <w:pPr>
              <w:pStyle w:val="TableText"/>
              <w:ind w:right="22"/>
              <w:spacing w:before="138" w:line="184" w:lineRule="auto"/>
              <w:jc w:val="right"/>
              <w:rPr/>
            </w:pPr>
            <w:r>
              <w:rPr>
                <w:color w:val="212529"/>
                <w:spacing w:val="-3"/>
              </w:rPr>
              <w:t>1,240.80</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1,240.80</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1,240.80</w:t>
            </w:r>
          </w:p>
        </w:tc>
        <w:tc>
          <w:tcPr>
            <w:tcW w:w="1295" w:type="dxa"/>
            <w:vAlign w:val="top"/>
          </w:tcPr>
          <w:p>
            <w:pPr>
              <w:pStyle w:val="TableText"/>
              <w:ind w:right="22"/>
              <w:spacing w:before="139" w:line="184" w:lineRule="auto"/>
              <w:jc w:val="right"/>
              <w:rPr/>
            </w:pPr>
            <w:r>
              <w:rPr>
                <w:color w:val="212529"/>
                <w:spacing w:val="-3"/>
              </w:rPr>
              <w:t>1,240.80</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8"/>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518"/>
        <w:gridCol w:w="1714"/>
        <w:gridCol w:w="1583"/>
        <w:gridCol w:w="1469"/>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1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9" w:type="dxa"/>
            <w:vAlign w:val="top"/>
            <w:tcBorders>
              <w:bottom w:val="single" w:color="FFFFFF" w:sz="4" w:space="0"/>
              <w:top w:val="single" w:color="FFFFFF" w:sz="4" w:space="0"/>
              <w:left w:val="single" w:color="FFFFFF" w:sz="2" w:space="0"/>
              <w:right w:val="single" w:color="FFFFFF" w:sz="2"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250"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部门名称：古县古阳镇中心学校</w:t>
            </w:r>
          </w:p>
        </w:tc>
        <w:tc>
          <w:tcPr>
            <w:tcW w:w="1714" w:type="dxa"/>
            <w:vAlign w:val="top"/>
            <w:tcBorders>
              <w:top w:val="single" w:color="FFFFFF" w:sz="4" w:space="0"/>
              <w:right w:val="single" w:color="FFFFFF" w:sz="2" w:space="0"/>
              <w:left w:val="single" w:color="000000" w:sz="2" w:space="0"/>
            </w:tcBorders>
          </w:tcPr>
          <w:p>
            <w:pPr>
              <w:pStyle w:val="TableText"/>
              <w:ind w:left="563"/>
              <w:spacing w:before="173" w:line="202" w:lineRule="auto"/>
              <w:rPr>
                <w:sz w:val="14"/>
                <w:szCs w:val="14"/>
              </w:rPr>
            </w:pPr>
            <w:r>
              <w:rPr>
                <w:sz w:val="14"/>
                <w:szCs w:val="14"/>
                <w:color w:val="212529"/>
                <w:spacing w:val="1"/>
              </w:rPr>
              <w:t>2023年度</w:t>
            </w:r>
          </w:p>
        </w:tc>
        <w:tc>
          <w:tcPr>
            <w:tcW w:w="1583" w:type="dxa"/>
            <w:vAlign w:val="top"/>
            <w:tcBorders>
              <w:top w:val="single" w:color="FFFFFF" w:sz="4" w:space="0"/>
              <w:left w:val="single" w:color="FFFFFF" w:sz="2" w:space="0"/>
              <w:right w:val="single" w:color="FFFFFF" w:sz="2" w:space="0"/>
            </w:tcBorders>
          </w:tcPr>
          <w:p>
            <w:pPr>
              <w:rPr>
                <w:rFonts w:ascii="Arial"/>
                <w:sz w:val="21"/>
              </w:rPr>
            </w:pPr>
            <w:r/>
          </w:p>
        </w:tc>
        <w:tc>
          <w:tcPr>
            <w:tcW w:w="1469" w:type="dxa"/>
            <w:vAlign w:val="top"/>
            <w:tcBorders>
              <w:top w:val="single" w:color="FFFFFF" w:sz="4" w:space="0"/>
              <w:left w:val="single" w:color="FFFFFF" w:sz="2" w:space="0"/>
              <w:right w:val="single" w:color="000000" w:sz="2" w:space="0"/>
            </w:tcBorders>
          </w:tcPr>
          <w:p>
            <w:pPr>
              <w:pStyle w:val="TableText"/>
              <w:ind w:left="434"/>
              <w:spacing w:before="89" w:line="225" w:lineRule="auto"/>
              <w:rPr>
                <w:sz w:val="14"/>
                <w:szCs w:val="14"/>
              </w:rPr>
            </w:pPr>
            <w:r>
              <w:rPr>
                <w:sz w:val="14"/>
                <w:szCs w:val="14"/>
                <w:color w:val="212529"/>
                <w:spacing w:val="2"/>
              </w:rPr>
              <w:t>金额单位：万元</w:t>
            </w:r>
          </w:p>
        </w:tc>
      </w:tr>
      <w:tr>
        <w:trPr>
          <w:trHeight w:val="314" w:hRule="atLeast"/>
        </w:trPr>
        <w:tc>
          <w:tcPr>
            <w:tcW w:w="4250" w:type="dxa"/>
            <w:vAlign w:val="top"/>
            <w:gridSpan w:val="2"/>
          </w:tcPr>
          <w:p>
            <w:pPr>
              <w:ind w:left="1923"/>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766" w:type="dxa"/>
            <w:vAlign w:val="top"/>
            <w:gridSpan w:val="3"/>
          </w:tcPr>
          <w:p>
            <w:pPr>
              <w:ind w:left="2001"/>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32" w:type="dxa"/>
            <w:vAlign w:val="top"/>
          </w:tcPr>
          <w:p>
            <w:pPr>
              <w:ind w:left="483"/>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18" w:type="dxa"/>
            <w:vAlign w:val="top"/>
          </w:tcPr>
          <w:p>
            <w:pPr>
              <w:ind w:left="8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14" w:type="dxa"/>
            <w:vAlign w:val="top"/>
          </w:tcPr>
          <w:p>
            <w:pPr>
              <w:ind w:left="656"/>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583" w:type="dxa"/>
            <w:vAlign w:val="top"/>
          </w:tcPr>
          <w:p>
            <w:pPr>
              <w:ind w:left="416"/>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250" w:type="dxa"/>
            <w:vAlign w:val="top"/>
            <w:gridSpan w:val="2"/>
          </w:tcPr>
          <w:p>
            <w:pPr>
              <w:ind w:left="192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14" w:type="dxa"/>
            <w:vAlign w:val="top"/>
          </w:tcPr>
          <w:p>
            <w:pPr>
              <w:pStyle w:val="TableText"/>
              <w:ind w:left="807"/>
              <w:spacing w:before="76" w:line="184" w:lineRule="auto"/>
              <w:rPr/>
            </w:pPr>
            <w:r>
              <w:rPr>
                <w:color w:val="212529"/>
              </w:rPr>
              <w:t>1</w:t>
            </w:r>
          </w:p>
        </w:tc>
        <w:tc>
          <w:tcPr>
            <w:tcW w:w="1583" w:type="dxa"/>
            <w:vAlign w:val="top"/>
          </w:tcPr>
          <w:p>
            <w:pPr>
              <w:pStyle w:val="TableText"/>
              <w:ind w:left="733"/>
              <w:spacing w:before="77" w:line="183" w:lineRule="auto"/>
              <w:rPr/>
            </w:pPr>
            <w:r>
              <w:rPr>
                <w:color w:val="212529"/>
              </w:rPr>
              <w:t>2</w:t>
            </w:r>
          </w:p>
        </w:tc>
        <w:tc>
          <w:tcPr>
            <w:tcW w:w="1469" w:type="dxa"/>
            <w:vAlign w:val="top"/>
          </w:tcPr>
          <w:p>
            <w:pPr>
              <w:pStyle w:val="TableText"/>
              <w:ind w:left="675"/>
              <w:spacing w:before="77" w:line="183" w:lineRule="auto"/>
              <w:rPr/>
            </w:pPr>
            <w:r>
              <w:rPr>
                <w:color w:val="212529"/>
              </w:rPr>
              <w:t>3</w:t>
            </w:r>
          </w:p>
        </w:tc>
      </w:tr>
      <w:tr>
        <w:trPr>
          <w:trHeight w:val="314" w:hRule="atLeast"/>
        </w:trPr>
        <w:tc>
          <w:tcPr>
            <w:tcW w:w="4250" w:type="dxa"/>
            <w:vAlign w:val="top"/>
            <w:gridSpan w:val="2"/>
          </w:tcPr>
          <w:p>
            <w:pPr>
              <w:pStyle w:val="TableText"/>
              <w:ind w:left="1930"/>
              <w:spacing w:before="49" w:line="221" w:lineRule="auto"/>
              <w:rPr/>
            </w:pPr>
            <w:r>
              <w:rPr>
                <w:color w:val="212529"/>
                <w:spacing w:val="-5"/>
              </w:rPr>
              <w:t>合计</w:t>
            </w:r>
          </w:p>
        </w:tc>
        <w:tc>
          <w:tcPr>
            <w:tcW w:w="1714" w:type="dxa"/>
            <w:vAlign w:val="top"/>
          </w:tcPr>
          <w:p>
            <w:pPr>
              <w:pStyle w:val="TableText"/>
              <w:ind w:right="23"/>
              <w:spacing w:before="77" w:line="184" w:lineRule="auto"/>
              <w:jc w:val="right"/>
              <w:rPr/>
            </w:pPr>
            <w:r>
              <w:rPr>
                <w:color w:val="212529"/>
                <w:spacing w:val="-3"/>
              </w:rPr>
              <w:t>1,240.80</w:t>
            </w:r>
          </w:p>
        </w:tc>
        <w:tc>
          <w:tcPr>
            <w:tcW w:w="1583" w:type="dxa"/>
            <w:vAlign w:val="top"/>
          </w:tcPr>
          <w:p>
            <w:pPr>
              <w:pStyle w:val="TableText"/>
              <w:ind w:right="21"/>
              <w:spacing w:before="77" w:line="184" w:lineRule="auto"/>
              <w:jc w:val="right"/>
              <w:rPr/>
            </w:pPr>
            <w:r>
              <w:rPr>
                <w:color w:val="212529"/>
                <w:spacing w:val="-3"/>
              </w:rPr>
              <w:t>1,020.21</w:t>
            </w:r>
          </w:p>
        </w:tc>
        <w:tc>
          <w:tcPr>
            <w:tcW w:w="1469" w:type="dxa"/>
            <w:vAlign w:val="top"/>
          </w:tcPr>
          <w:p>
            <w:pPr>
              <w:pStyle w:val="TableText"/>
              <w:ind w:right="26"/>
              <w:spacing w:before="78" w:line="183" w:lineRule="auto"/>
              <w:jc w:val="right"/>
              <w:rPr/>
            </w:pPr>
            <w:r>
              <w:rPr>
                <w:color w:val="212529"/>
                <w:spacing w:val="-2"/>
              </w:rPr>
              <w:t>220.60</w:t>
            </w:r>
          </w:p>
        </w:tc>
      </w:tr>
      <w:tr>
        <w:trPr>
          <w:trHeight w:val="313" w:hRule="atLeast"/>
        </w:trPr>
        <w:tc>
          <w:tcPr>
            <w:tcW w:w="1732" w:type="dxa"/>
            <w:vAlign w:val="top"/>
          </w:tcPr>
          <w:p>
            <w:pPr>
              <w:pStyle w:val="TableText"/>
              <w:ind w:left="11"/>
              <w:spacing w:before="78" w:line="183" w:lineRule="auto"/>
              <w:rPr/>
            </w:pPr>
            <w:r>
              <w:rPr>
                <w:color w:val="212529"/>
                <w:spacing w:val="-4"/>
              </w:rPr>
              <w:t>205</w:t>
            </w:r>
          </w:p>
        </w:tc>
        <w:tc>
          <w:tcPr>
            <w:tcW w:w="2518" w:type="dxa"/>
            <w:vAlign w:val="top"/>
          </w:tcPr>
          <w:p>
            <w:pPr>
              <w:pStyle w:val="TableText"/>
              <w:ind w:left="7"/>
              <w:spacing w:before="50" w:line="219" w:lineRule="auto"/>
              <w:rPr/>
            </w:pPr>
            <w:r>
              <w:rPr>
                <w:color w:val="212529"/>
                <w:spacing w:val="-3"/>
              </w:rPr>
              <w:t>教育支出</w:t>
            </w:r>
          </w:p>
        </w:tc>
        <w:tc>
          <w:tcPr>
            <w:tcW w:w="1714" w:type="dxa"/>
            <w:vAlign w:val="top"/>
          </w:tcPr>
          <w:p>
            <w:pPr>
              <w:pStyle w:val="TableText"/>
              <w:ind w:right="23"/>
              <w:spacing w:before="78" w:line="183" w:lineRule="auto"/>
              <w:jc w:val="right"/>
              <w:rPr/>
            </w:pPr>
            <w:r>
              <w:rPr>
                <w:color w:val="212529"/>
                <w:spacing w:val="-2"/>
              </w:rPr>
              <w:t>899.26</w:t>
            </w:r>
          </w:p>
        </w:tc>
        <w:tc>
          <w:tcPr>
            <w:tcW w:w="1583" w:type="dxa"/>
            <w:vAlign w:val="top"/>
          </w:tcPr>
          <w:p>
            <w:pPr>
              <w:pStyle w:val="TableText"/>
              <w:ind w:right="21"/>
              <w:spacing w:before="78" w:line="183" w:lineRule="auto"/>
              <w:jc w:val="right"/>
              <w:rPr/>
            </w:pPr>
            <w:r>
              <w:rPr>
                <w:color w:val="212529"/>
                <w:spacing w:val="-2"/>
              </w:rPr>
              <w:t>680.94</w:t>
            </w:r>
          </w:p>
        </w:tc>
        <w:tc>
          <w:tcPr>
            <w:tcW w:w="1469" w:type="dxa"/>
            <w:vAlign w:val="top"/>
          </w:tcPr>
          <w:p>
            <w:pPr>
              <w:pStyle w:val="TableText"/>
              <w:ind w:right="26"/>
              <w:spacing w:before="77" w:line="184" w:lineRule="auto"/>
              <w:jc w:val="right"/>
              <w:rPr/>
            </w:pPr>
            <w:r>
              <w:rPr>
                <w:color w:val="212529"/>
                <w:spacing w:val="-2"/>
              </w:rPr>
              <w:t>218.32</w:t>
            </w:r>
          </w:p>
        </w:tc>
      </w:tr>
      <w:tr>
        <w:trPr>
          <w:trHeight w:val="314" w:hRule="atLeast"/>
        </w:trPr>
        <w:tc>
          <w:tcPr>
            <w:tcW w:w="1732" w:type="dxa"/>
            <w:vAlign w:val="top"/>
          </w:tcPr>
          <w:p>
            <w:pPr>
              <w:pStyle w:val="TableText"/>
              <w:ind w:left="11"/>
              <w:spacing w:before="79" w:line="183" w:lineRule="auto"/>
              <w:rPr/>
            </w:pPr>
            <w:r>
              <w:rPr>
                <w:color w:val="212529"/>
                <w:spacing w:val="-2"/>
              </w:rPr>
              <w:t>20502</w:t>
            </w:r>
          </w:p>
        </w:tc>
        <w:tc>
          <w:tcPr>
            <w:tcW w:w="2518" w:type="dxa"/>
            <w:vAlign w:val="top"/>
          </w:tcPr>
          <w:p>
            <w:pPr>
              <w:pStyle w:val="TableText"/>
              <w:ind w:left="4"/>
              <w:spacing w:before="51" w:line="219" w:lineRule="auto"/>
              <w:rPr/>
            </w:pPr>
            <w:r>
              <w:rPr>
                <w:color w:val="212529"/>
                <w:spacing w:val="-2"/>
              </w:rPr>
              <w:t>普通教育</w:t>
            </w:r>
          </w:p>
        </w:tc>
        <w:tc>
          <w:tcPr>
            <w:tcW w:w="1714" w:type="dxa"/>
            <w:vAlign w:val="top"/>
          </w:tcPr>
          <w:p>
            <w:pPr>
              <w:pStyle w:val="TableText"/>
              <w:ind w:right="23"/>
              <w:spacing w:before="79" w:line="183" w:lineRule="auto"/>
              <w:jc w:val="right"/>
              <w:rPr/>
            </w:pPr>
            <w:r>
              <w:rPr>
                <w:color w:val="212529"/>
                <w:spacing w:val="-2"/>
              </w:rPr>
              <w:t>899.26</w:t>
            </w:r>
          </w:p>
        </w:tc>
        <w:tc>
          <w:tcPr>
            <w:tcW w:w="1583" w:type="dxa"/>
            <w:vAlign w:val="top"/>
          </w:tcPr>
          <w:p>
            <w:pPr>
              <w:pStyle w:val="TableText"/>
              <w:ind w:right="21"/>
              <w:spacing w:before="79" w:line="183" w:lineRule="auto"/>
              <w:jc w:val="right"/>
              <w:rPr/>
            </w:pPr>
            <w:r>
              <w:rPr>
                <w:color w:val="212529"/>
                <w:spacing w:val="-2"/>
              </w:rPr>
              <w:t>680.94</w:t>
            </w:r>
          </w:p>
        </w:tc>
        <w:tc>
          <w:tcPr>
            <w:tcW w:w="1469" w:type="dxa"/>
            <w:vAlign w:val="top"/>
          </w:tcPr>
          <w:p>
            <w:pPr>
              <w:pStyle w:val="TableText"/>
              <w:ind w:right="26"/>
              <w:spacing w:before="78" w:line="184" w:lineRule="auto"/>
              <w:jc w:val="right"/>
              <w:rPr/>
            </w:pPr>
            <w:r>
              <w:rPr>
                <w:color w:val="212529"/>
                <w:spacing w:val="-2"/>
              </w:rPr>
              <w:t>218.32</w:t>
            </w:r>
          </w:p>
        </w:tc>
      </w:tr>
      <w:tr>
        <w:trPr>
          <w:trHeight w:val="314" w:hRule="atLeast"/>
        </w:trPr>
        <w:tc>
          <w:tcPr>
            <w:tcW w:w="1732" w:type="dxa"/>
            <w:vAlign w:val="top"/>
          </w:tcPr>
          <w:p>
            <w:pPr>
              <w:pStyle w:val="TableText"/>
              <w:ind w:left="11"/>
              <w:spacing w:before="78" w:line="184" w:lineRule="auto"/>
              <w:rPr/>
            </w:pPr>
            <w:r>
              <w:rPr>
                <w:color w:val="212529"/>
                <w:spacing w:val="-2"/>
              </w:rPr>
              <w:t>2050201</w:t>
            </w:r>
          </w:p>
        </w:tc>
        <w:tc>
          <w:tcPr>
            <w:tcW w:w="2518" w:type="dxa"/>
            <w:vAlign w:val="top"/>
          </w:tcPr>
          <w:p>
            <w:pPr>
              <w:pStyle w:val="TableText"/>
              <w:ind w:left="9"/>
              <w:spacing w:before="51" w:line="219" w:lineRule="auto"/>
              <w:rPr/>
            </w:pPr>
            <w:r>
              <w:rPr>
                <w:color w:val="212529"/>
                <w:spacing w:val="-3"/>
              </w:rPr>
              <w:t>学前教育</w:t>
            </w:r>
          </w:p>
        </w:tc>
        <w:tc>
          <w:tcPr>
            <w:tcW w:w="1714" w:type="dxa"/>
            <w:vAlign w:val="top"/>
          </w:tcPr>
          <w:p>
            <w:pPr>
              <w:pStyle w:val="TableText"/>
              <w:ind w:left="1245"/>
              <w:spacing w:before="78" w:line="184" w:lineRule="auto"/>
              <w:rPr/>
            </w:pPr>
            <w:r>
              <w:rPr>
                <w:color w:val="212529"/>
                <w:spacing w:val="-5"/>
              </w:rPr>
              <w:t>13.78</w:t>
            </w:r>
          </w:p>
        </w:tc>
        <w:tc>
          <w:tcPr>
            <w:tcW w:w="1583" w:type="dxa"/>
            <w:vAlign w:val="top"/>
          </w:tcPr>
          <w:p>
            <w:pPr>
              <w:rPr>
                <w:rFonts w:ascii="Arial"/>
                <w:sz w:val="21"/>
              </w:rPr>
            </w:pPr>
            <w:r/>
          </w:p>
        </w:tc>
        <w:tc>
          <w:tcPr>
            <w:tcW w:w="1469" w:type="dxa"/>
            <w:vAlign w:val="top"/>
          </w:tcPr>
          <w:p>
            <w:pPr>
              <w:pStyle w:val="TableText"/>
              <w:ind w:left="997"/>
              <w:spacing w:before="78" w:line="184" w:lineRule="auto"/>
              <w:rPr/>
            </w:pPr>
            <w:r>
              <w:rPr>
                <w:color w:val="212529"/>
                <w:spacing w:val="-5"/>
              </w:rPr>
              <w:t>13.78</w:t>
            </w:r>
          </w:p>
        </w:tc>
      </w:tr>
      <w:tr>
        <w:trPr>
          <w:trHeight w:val="314" w:hRule="atLeast"/>
        </w:trPr>
        <w:tc>
          <w:tcPr>
            <w:tcW w:w="1732" w:type="dxa"/>
            <w:vAlign w:val="top"/>
          </w:tcPr>
          <w:p>
            <w:pPr>
              <w:pStyle w:val="TableText"/>
              <w:ind w:left="11"/>
              <w:spacing w:before="80" w:line="183" w:lineRule="auto"/>
              <w:rPr/>
            </w:pPr>
            <w:r>
              <w:rPr>
                <w:color w:val="212529"/>
                <w:spacing w:val="-2"/>
              </w:rPr>
              <w:t>2050202</w:t>
            </w:r>
          </w:p>
        </w:tc>
        <w:tc>
          <w:tcPr>
            <w:tcW w:w="2518" w:type="dxa"/>
            <w:vAlign w:val="top"/>
          </w:tcPr>
          <w:p>
            <w:pPr>
              <w:pStyle w:val="TableText"/>
              <w:ind w:left="10"/>
              <w:spacing w:before="51" w:line="219" w:lineRule="auto"/>
              <w:rPr/>
            </w:pPr>
            <w:r>
              <w:rPr>
                <w:color w:val="212529"/>
                <w:spacing w:val="-4"/>
              </w:rPr>
              <w:t>小学教育</w:t>
            </w:r>
          </w:p>
        </w:tc>
        <w:tc>
          <w:tcPr>
            <w:tcW w:w="1714" w:type="dxa"/>
            <w:vAlign w:val="top"/>
          </w:tcPr>
          <w:p>
            <w:pPr>
              <w:pStyle w:val="TableText"/>
              <w:ind w:right="23"/>
              <w:spacing w:before="79" w:line="183" w:lineRule="auto"/>
              <w:jc w:val="right"/>
              <w:rPr/>
            </w:pPr>
            <w:r>
              <w:rPr>
                <w:color w:val="212529"/>
                <w:spacing w:val="-2"/>
              </w:rPr>
              <w:t>789.04</w:t>
            </w:r>
          </w:p>
        </w:tc>
        <w:tc>
          <w:tcPr>
            <w:tcW w:w="1583" w:type="dxa"/>
            <w:vAlign w:val="top"/>
          </w:tcPr>
          <w:p>
            <w:pPr>
              <w:pStyle w:val="TableText"/>
              <w:ind w:right="21"/>
              <w:spacing w:before="79" w:line="183" w:lineRule="auto"/>
              <w:jc w:val="right"/>
              <w:rPr/>
            </w:pPr>
            <w:r>
              <w:rPr>
                <w:color w:val="212529"/>
                <w:spacing w:val="-2"/>
              </w:rPr>
              <w:t>680.94</w:t>
            </w:r>
          </w:p>
        </w:tc>
        <w:tc>
          <w:tcPr>
            <w:tcW w:w="1469" w:type="dxa"/>
            <w:vAlign w:val="top"/>
          </w:tcPr>
          <w:p>
            <w:pPr>
              <w:pStyle w:val="TableText"/>
              <w:ind w:right="26"/>
              <w:spacing w:before="78" w:line="184" w:lineRule="auto"/>
              <w:jc w:val="right"/>
              <w:rPr/>
            </w:pPr>
            <w:r>
              <w:rPr>
                <w:color w:val="212529"/>
                <w:spacing w:val="-4"/>
              </w:rPr>
              <w:t>108.10</w:t>
            </w:r>
          </w:p>
        </w:tc>
      </w:tr>
      <w:tr>
        <w:trPr>
          <w:trHeight w:val="314" w:hRule="atLeast"/>
        </w:trPr>
        <w:tc>
          <w:tcPr>
            <w:tcW w:w="1732" w:type="dxa"/>
            <w:vAlign w:val="top"/>
          </w:tcPr>
          <w:p>
            <w:pPr>
              <w:pStyle w:val="TableText"/>
              <w:ind w:left="11"/>
              <w:spacing w:before="80" w:line="183" w:lineRule="auto"/>
              <w:rPr/>
            </w:pPr>
            <w:r>
              <w:rPr>
                <w:color w:val="212529"/>
                <w:spacing w:val="-2"/>
              </w:rPr>
              <w:t>2050299</w:t>
            </w:r>
          </w:p>
        </w:tc>
        <w:tc>
          <w:tcPr>
            <w:tcW w:w="2518" w:type="dxa"/>
            <w:vAlign w:val="top"/>
          </w:tcPr>
          <w:p>
            <w:pPr>
              <w:pStyle w:val="TableText"/>
              <w:ind w:left="6"/>
              <w:spacing w:before="51" w:line="219" w:lineRule="auto"/>
              <w:rPr/>
            </w:pPr>
            <w:r>
              <w:rPr>
                <w:color w:val="212529"/>
                <w:spacing w:val="-2"/>
              </w:rPr>
              <w:t>其他普通教育支出</w:t>
            </w:r>
          </w:p>
        </w:tc>
        <w:tc>
          <w:tcPr>
            <w:tcW w:w="1714" w:type="dxa"/>
            <w:vAlign w:val="top"/>
          </w:tcPr>
          <w:p>
            <w:pPr>
              <w:pStyle w:val="TableText"/>
              <w:ind w:left="1233"/>
              <w:spacing w:before="79" w:line="183" w:lineRule="auto"/>
              <w:rPr/>
            </w:pPr>
            <w:r>
              <w:rPr>
                <w:color w:val="212529"/>
                <w:spacing w:val="-2"/>
              </w:rPr>
              <w:t>96.45</w:t>
            </w:r>
          </w:p>
        </w:tc>
        <w:tc>
          <w:tcPr>
            <w:tcW w:w="1583" w:type="dxa"/>
            <w:vAlign w:val="top"/>
          </w:tcPr>
          <w:p>
            <w:pPr>
              <w:rPr>
                <w:rFonts w:ascii="Arial"/>
                <w:sz w:val="21"/>
              </w:rPr>
            </w:pPr>
            <w:r/>
          </w:p>
        </w:tc>
        <w:tc>
          <w:tcPr>
            <w:tcW w:w="1469" w:type="dxa"/>
            <w:vAlign w:val="top"/>
          </w:tcPr>
          <w:p>
            <w:pPr>
              <w:pStyle w:val="TableText"/>
              <w:ind w:left="985"/>
              <w:spacing w:before="79" w:line="183" w:lineRule="auto"/>
              <w:rPr/>
            </w:pPr>
            <w:r>
              <w:rPr>
                <w:color w:val="212529"/>
                <w:spacing w:val="-2"/>
              </w:rPr>
              <w:t>96.45</w:t>
            </w:r>
          </w:p>
        </w:tc>
      </w:tr>
      <w:tr>
        <w:trPr>
          <w:trHeight w:val="314" w:hRule="atLeast"/>
        </w:trPr>
        <w:tc>
          <w:tcPr>
            <w:tcW w:w="1732" w:type="dxa"/>
            <w:vAlign w:val="top"/>
          </w:tcPr>
          <w:p>
            <w:pPr>
              <w:pStyle w:val="TableText"/>
              <w:ind w:left="11"/>
              <w:spacing w:before="80" w:line="183" w:lineRule="auto"/>
              <w:rPr/>
            </w:pPr>
            <w:r>
              <w:rPr>
                <w:color w:val="212529"/>
                <w:spacing w:val="-4"/>
              </w:rPr>
              <w:t>208</w:t>
            </w:r>
          </w:p>
        </w:tc>
        <w:tc>
          <w:tcPr>
            <w:tcW w:w="2518" w:type="dxa"/>
            <w:vAlign w:val="top"/>
          </w:tcPr>
          <w:p>
            <w:pPr>
              <w:pStyle w:val="TableText"/>
              <w:ind w:left="6"/>
              <w:spacing w:before="51" w:line="219" w:lineRule="auto"/>
              <w:rPr/>
            </w:pPr>
            <w:r>
              <w:rPr>
                <w:color w:val="212529"/>
                <w:spacing w:val="-2"/>
              </w:rPr>
              <w:t>社会保障和就业支出</w:t>
            </w:r>
          </w:p>
        </w:tc>
        <w:tc>
          <w:tcPr>
            <w:tcW w:w="1714" w:type="dxa"/>
            <w:vAlign w:val="top"/>
          </w:tcPr>
          <w:p>
            <w:pPr>
              <w:pStyle w:val="TableText"/>
              <w:ind w:right="23"/>
              <w:spacing w:before="80" w:line="183" w:lineRule="auto"/>
              <w:jc w:val="right"/>
              <w:rPr/>
            </w:pPr>
            <w:r>
              <w:rPr>
                <w:color w:val="212529"/>
                <w:spacing w:val="-2"/>
              </w:rPr>
              <w:t>260.38</w:t>
            </w:r>
          </w:p>
        </w:tc>
        <w:tc>
          <w:tcPr>
            <w:tcW w:w="1583" w:type="dxa"/>
            <w:vAlign w:val="top"/>
          </w:tcPr>
          <w:p>
            <w:pPr>
              <w:pStyle w:val="TableText"/>
              <w:ind w:right="21"/>
              <w:spacing w:before="80" w:line="183" w:lineRule="auto"/>
              <w:jc w:val="right"/>
              <w:rPr/>
            </w:pPr>
            <w:r>
              <w:rPr>
                <w:color w:val="212529"/>
                <w:spacing w:val="-2"/>
              </w:rPr>
              <w:t>260.38</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w:t>
            </w:r>
          </w:p>
        </w:tc>
        <w:tc>
          <w:tcPr>
            <w:tcW w:w="2518" w:type="dxa"/>
            <w:vAlign w:val="top"/>
          </w:tcPr>
          <w:p>
            <w:pPr>
              <w:pStyle w:val="TableText"/>
              <w:ind w:left="8"/>
              <w:spacing w:before="51" w:line="219" w:lineRule="auto"/>
              <w:rPr/>
            </w:pPr>
            <w:r>
              <w:rPr>
                <w:color w:val="212529"/>
                <w:spacing w:val="-2"/>
              </w:rPr>
              <w:t>行政事业单位养老支出</w:t>
            </w:r>
          </w:p>
        </w:tc>
        <w:tc>
          <w:tcPr>
            <w:tcW w:w="1714" w:type="dxa"/>
            <w:vAlign w:val="top"/>
          </w:tcPr>
          <w:p>
            <w:pPr>
              <w:pStyle w:val="TableText"/>
              <w:ind w:right="23"/>
              <w:spacing w:before="80" w:line="183" w:lineRule="auto"/>
              <w:jc w:val="right"/>
              <w:rPr/>
            </w:pPr>
            <w:r>
              <w:rPr>
                <w:color w:val="212529"/>
                <w:spacing w:val="-2"/>
              </w:rPr>
              <w:t>260.38</w:t>
            </w:r>
          </w:p>
        </w:tc>
        <w:tc>
          <w:tcPr>
            <w:tcW w:w="1583" w:type="dxa"/>
            <w:vAlign w:val="top"/>
          </w:tcPr>
          <w:p>
            <w:pPr>
              <w:pStyle w:val="TableText"/>
              <w:ind w:right="21"/>
              <w:spacing w:before="80" w:line="183" w:lineRule="auto"/>
              <w:jc w:val="right"/>
              <w:rPr/>
            </w:pPr>
            <w:r>
              <w:rPr>
                <w:color w:val="212529"/>
                <w:spacing w:val="-2"/>
              </w:rPr>
              <w:t>260.38</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3" w:lineRule="auto"/>
              <w:rPr/>
            </w:pPr>
            <w:r>
              <w:rPr>
                <w:color w:val="212529"/>
                <w:spacing w:val="-2"/>
              </w:rPr>
              <w:t>2080502</w:t>
            </w:r>
          </w:p>
        </w:tc>
        <w:tc>
          <w:tcPr>
            <w:tcW w:w="2518" w:type="dxa"/>
            <w:vAlign w:val="top"/>
          </w:tcPr>
          <w:p>
            <w:pPr>
              <w:pStyle w:val="TableText"/>
              <w:ind w:left="5"/>
              <w:spacing w:before="52" w:line="219" w:lineRule="auto"/>
              <w:rPr/>
            </w:pPr>
            <w:r>
              <w:rPr>
                <w:color w:val="212529"/>
                <w:spacing w:val="-2"/>
              </w:rPr>
              <w:t>事业单位离退休</w:t>
            </w:r>
          </w:p>
        </w:tc>
        <w:tc>
          <w:tcPr>
            <w:tcW w:w="1714" w:type="dxa"/>
            <w:vAlign w:val="top"/>
          </w:tcPr>
          <w:p>
            <w:pPr>
              <w:pStyle w:val="TableText"/>
              <w:ind w:left="1236"/>
              <w:spacing w:before="80" w:line="183" w:lineRule="auto"/>
              <w:rPr/>
            </w:pPr>
            <w:r>
              <w:rPr>
                <w:color w:val="212529"/>
                <w:spacing w:val="-3"/>
              </w:rPr>
              <w:t>72.56</w:t>
            </w:r>
          </w:p>
        </w:tc>
        <w:tc>
          <w:tcPr>
            <w:tcW w:w="1583" w:type="dxa"/>
            <w:vAlign w:val="top"/>
          </w:tcPr>
          <w:p>
            <w:pPr>
              <w:pStyle w:val="TableText"/>
              <w:ind w:left="1107"/>
              <w:spacing w:before="80" w:line="183" w:lineRule="auto"/>
              <w:rPr/>
            </w:pPr>
            <w:r>
              <w:rPr>
                <w:color w:val="212529"/>
                <w:spacing w:val="-3"/>
              </w:rPr>
              <w:t>72.56</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8" w:line="183" w:lineRule="auto"/>
              <w:rPr/>
            </w:pPr>
            <w:r>
              <w:rPr>
                <w:color w:val="212529"/>
                <w:spacing w:val="-2"/>
              </w:rPr>
              <w:t>2080505</w:t>
            </w:r>
          </w:p>
        </w:tc>
        <w:tc>
          <w:tcPr>
            <w:tcW w:w="2518" w:type="dxa"/>
            <w:vAlign w:val="top"/>
          </w:tcPr>
          <w:p>
            <w:pPr>
              <w:pStyle w:val="TableText"/>
              <w:ind w:left="14" w:right="170" w:hanging="10"/>
              <w:spacing w:before="3" w:line="203" w:lineRule="auto"/>
              <w:rPr/>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pPr>
              <w:pStyle w:val="TableText"/>
              <w:ind w:left="1236"/>
              <w:spacing w:before="128" w:line="183" w:lineRule="auto"/>
              <w:rPr/>
            </w:pPr>
            <w:r>
              <w:rPr>
                <w:color w:val="212529"/>
                <w:spacing w:val="-3"/>
              </w:rPr>
              <w:t>74.97</w:t>
            </w:r>
          </w:p>
        </w:tc>
        <w:tc>
          <w:tcPr>
            <w:tcW w:w="1583" w:type="dxa"/>
            <w:vAlign w:val="top"/>
          </w:tcPr>
          <w:p>
            <w:pPr>
              <w:pStyle w:val="TableText"/>
              <w:ind w:left="1107"/>
              <w:spacing w:before="128" w:line="183" w:lineRule="auto"/>
              <w:rPr/>
            </w:pPr>
            <w:r>
              <w:rPr>
                <w:color w:val="212529"/>
                <w:spacing w:val="-3"/>
              </w:rPr>
              <w:t>74.97</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9" w:line="183" w:lineRule="auto"/>
              <w:rPr/>
            </w:pPr>
            <w:r>
              <w:rPr>
                <w:color w:val="212529"/>
                <w:spacing w:val="-2"/>
              </w:rPr>
              <w:t>2080506</w:t>
            </w:r>
          </w:p>
        </w:tc>
        <w:tc>
          <w:tcPr>
            <w:tcW w:w="2518" w:type="dxa"/>
            <w:vAlign w:val="top"/>
          </w:tcPr>
          <w:p>
            <w:pPr>
              <w:pStyle w:val="TableText"/>
              <w:ind w:left="20" w:right="170" w:hanging="16"/>
              <w:spacing w:before="5" w:line="202" w:lineRule="auto"/>
              <w:rPr/>
            </w:pPr>
            <w:r>
              <w:rPr>
                <w:color w:val="212529"/>
                <w:spacing w:val="-1"/>
              </w:rPr>
              <w:t>机关事业单位职业年金缴费支</w:t>
            </w:r>
            <w:r>
              <w:rPr>
                <w:color w:val="212529"/>
                <w:spacing w:val="4"/>
              </w:rPr>
              <w:t xml:space="preserve"> </w:t>
            </w:r>
            <w:r>
              <w:rPr>
                <w:color w:val="212529"/>
              </w:rPr>
              <w:t>出</w:t>
            </w:r>
          </w:p>
        </w:tc>
        <w:tc>
          <w:tcPr>
            <w:tcW w:w="1714" w:type="dxa"/>
            <w:vAlign w:val="top"/>
          </w:tcPr>
          <w:p>
            <w:pPr>
              <w:pStyle w:val="TableText"/>
              <w:ind w:right="23"/>
              <w:spacing w:before="128" w:line="184" w:lineRule="auto"/>
              <w:jc w:val="right"/>
              <w:rPr/>
            </w:pPr>
            <w:r>
              <w:rPr>
                <w:color w:val="212529"/>
                <w:spacing w:val="-4"/>
              </w:rPr>
              <w:t>112.86</w:t>
            </w:r>
          </w:p>
        </w:tc>
        <w:tc>
          <w:tcPr>
            <w:tcW w:w="1583" w:type="dxa"/>
            <w:vAlign w:val="top"/>
          </w:tcPr>
          <w:p>
            <w:pPr>
              <w:pStyle w:val="TableText"/>
              <w:ind w:right="21"/>
              <w:spacing w:before="128" w:line="184" w:lineRule="auto"/>
              <w:jc w:val="right"/>
              <w:rPr/>
            </w:pPr>
            <w:r>
              <w:rPr>
                <w:color w:val="212529"/>
                <w:spacing w:val="-4"/>
              </w:rPr>
              <w:t>112.86</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4"/>
              </w:rPr>
              <w:t>221</w:t>
            </w:r>
          </w:p>
        </w:tc>
        <w:tc>
          <w:tcPr>
            <w:tcW w:w="2518" w:type="dxa"/>
            <w:vAlign w:val="top"/>
          </w:tcPr>
          <w:p>
            <w:pPr>
              <w:pStyle w:val="TableText"/>
              <w:ind w:left="4"/>
              <w:spacing w:before="54" w:line="219" w:lineRule="auto"/>
              <w:rPr/>
            </w:pPr>
            <w:r>
              <w:rPr>
                <w:color w:val="212529"/>
                <w:spacing w:val="-2"/>
              </w:rPr>
              <w:t>住房保障支出</w:t>
            </w:r>
          </w:p>
        </w:tc>
        <w:tc>
          <w:tcPr>
            <w:tcW w:w="1714" w:type="dxa"/>
            <w:vAlign w:val="top"/>
          </w:tcPr>
          <w:p>
            <w:pPr>
              <w:pStyle w:val="TableText"/>
              <w:ind w:left="1236"/>
              <w:spacing w:before="82" w:line="183" w:lineRule="auto"/>
              <w:rPr/>
            </w:pPr>
            <w:r>
              <w:rPr>
                <w:color w:val="212529"/>
                <w:spacing w:val="-3"/>
              </w:rPr>
              <w:t>78.88</w:t>
            </w:r>
          </w:p>
        </w:tc>
        <w:tc>
          <w:tcPr>
            <w:tcW w:w="1583" w:type="dxa"/>
            <w:vAlign w:val="top"/>
          </w:tcPr>
          <w:p>
            <w:pPr>
              <w:pStyle w:val="TableText"/>
              <w:ind w:left="1107"/>
              <w:spacing w:before="82" w:line="183" w:lineRule="auto"/>
              <w:rPr/>
            </w:pPr>
            <w:r>
              <w:rPr>
                <w:color w:val="212529"/>
                <w:spacing w:val="-3"/>
              </w:rPr>
              <w:t>78.88</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w:t>
            </w:r>
          </w:p>
        </w:tc>
        <w:tc>
          <w:tcPr>
            <w:tcW w:w="2518" w:type="dxa"/>
            <w:vAlign w:val="top"/>
          </w:tcPr>
          <w:p>
            <w:pPr>
              <w:pStyle w:val="TableText"/>
              <w:ind w:left="4"/>
              <w:spacing w:before="54" w:line="219" w:lineRule="auto"/>
              <w:rPr/>
            </w:pPr>
            <w:r>
              <w:rPr>
                <w:color w:val="212529"/>
                <w:spacing w:val="-2"/>
              </w:rPr>
              <w:t>住房改革支出</w:t>
            </w:r>
          </w:p>
        </w:tc>
        <w:tc>
          <w:tcPr>
            <w:tcW w:w="1714" w:type="dxa"/>
            <w:vAlign w:val="top"/>
          </w:tcPr>
          <w:p>
            <w:pPr>
              <w:pStyle w:val="TableText"/>
              <w:ind w:left="1236"/>
              <w:spacing w:before="82" w:line="183" w:lineRule="auto"/>
              <w:rPr/>
            </w:pPr>
            <w:r>
              <w:rPr>
                <w:color w:val="212529"/>
                <w:spacing w:val="-3"/>
              </w:rPr>
              <w:t>78.88</w:t>
            </w:r>
          </w:p>
        </w:tc>
        <w:tc>
          <w:tcPr>
            <w:tcW w:w="1583" w:type="dxa"/>
            <w:vAlign w:val="top"/>
          </w:tcPr>
          <w:p>
            <w:pPr>
              <w:pStyle w:val="TableText"/>
              <w:ind w:left="1107"/>
              <w:spacing w:before="82" w:line="183" w:lineRule="auto"/>
              <w:rPr/>
            </w:pPr>
            <w:r>
              <w:rPr>
                <w:color w:val="212529"/>
                <w:spacing w:val="-3"/>
              </w:rPr>
              <w:t>78.88</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2210201</w:t>
            </w:r>
          </w:p>
        </w:tc>
        <w:tc>
          <w:tcPr>
            <w:tcW w:w="2518" w:type="dxa"/>
            <w:vAlign w:val="top"/>
          </w:tcPr>
          <w:p>
            <w:pPr>
              <w:pStyle w:val="TableText"/>
              <w:ind w:left="4"/>
              <w:spacing w:before="54" w:line="220" w:lineRule="auto"/>
              <w:rPr/>
            </w:pPr>
            <w:r>
              <w:rPr>
                <w:color w:val="212529"/>
                <w:spacing w:val="-2"/>
              </w:rPr>
              <w:t>住房公积金</w:t>
            </w:r>
          </w:p>
        </w:tc>
        <w:tc>
          <w:tcPr>
            <w:tcW w:w="1714" w:type="dxa"/>
            <w:vAlign w:val="top"/>
          </w:tcPr>
          <w:p>
            <w:pPr>
              <w:pStyle w:val="TableText"/>
              <w:ind w:left="1236"/>
              <w:spacing w:before="82" w:line="183" w:lineRule="auto"/>
              <w:rPr/>
            </w:pPr>
            <w:r>
              <w:rPr>
                <w:color w:val="212529"/>
                <w:spacing w:val="-3"/>
              </w:rPr>
              <w:t>78.88</w:t>
            </w:r>
          </w:p>
        </w:tc>
        <w:tc>
          <w:tcPr>
            <w:tcW w:w="1583" w:type="dxa"/>
            <w:vAlign w:val="top"/>
          </w:tcPr>
          <w:p>
            <w:pPr>
              <w:pStyle w:val="TableText"/>
              <w:ind w:left="1107"/>
              <w:spacing w:before="82" w:line="183" w:lineRule="auto"/>
              <w:rPr/>
            </w:pPr>
            <w:r>
              <w:rPr>
                <w:color w:val="212529"/>
                <w:spacing w:val="-3"/>
              </w:rPr>
              <w:t>78.88</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2" w:line="183" w:lineRule="auto"/>
              <w:rPr/>
            </w:pPr>
            <w:r>
              <w:rPr>
                <w:color w:val="212529"/>
                <w:spacing w:val="-4"/>
              </w:rPr>
              <w:t>224</w:t>
            </w:r>
          </w:p>
        </w:tc>
        <w:tc>
          <w:tcPr>
            <w:tcW w:w="2518" w:type="dxa"/>
            <w:vAlign w:val="top"/>
          </w:tcPr>
          <w:p>
            <w:pPr>
              <w:pStyle w:val="TableText"/>
              <w:ind w:left="9"/>
              <w:spacing w:before="54" w:line="219" w:lineRule="auto"/>
              <w:rPr/>
            </w:pPr>
            <w:r>
              <w:rPr>
                <w:color w:val="212529"/>
                <w:spacing w:val="-2"/>
              </w:rPr>
              <w:t>灾害防治及应急管理支出</w:t>
            </w:r>
          </w:p>
        </w:tc>
        <w:tc>
          <w:tcPr>
            <w:tcW w:w="1714" w:type="dxa"/>
            <w:vAlign w:val="top"/>
          </w:tcPr>
          <w:p>
            <w:pPr>
              <w:pStyle w:val="TableText"/>
              <w:ind w:right="23"/>
              <w:spacing w:before="82" w:line="183" w:lineRule="auto"/>
              <w:jc w:val="right"/>
              <w:rPr/>
            </w:pPr>
            <w:r>
              <w:rPr>
                <w:color w:val="212529"/>
                <w:spacing w:val="-3"/>
              </w:rPr>
              <w:t>2.27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2.27</w:t>
            </w:r>
          </w:p>
        </w:tc>
      </w:tr>
      <w:tr>
        <w:trPr>
          <w:trHeight w:val="314" w:hRule="atLeast"/>
        </w:trPr>
        <w:tc>
          <w:tcPr>
            <w:tcW w:w="1732" w:type="dxa"/>
            <w:vAlign w:val="top"/>
          </w:tcPr>
          <w:p>
            <w:pPr>
              <w:pStyle w:val="TableText"/>
              <w:ind w:left="11"/>
              <w:spacing w:before="83" w:line="183" w:lineRule="auto"/>
              <w:rPr/>
            </w:pPr>
            <w:r>
              <w:rPr>
                <w:color w:val="212529"/>
                <w:spacing w:val="-2"/>
              </w:rPr>
              <w:t>22407</w:t>
            </w:r>
          </w:p>
        </w:tc>
        <w:tc>
          <w:tcPr>
            <w:tcW w:w="2518" w:type="dxa"/>
            <w:vAlign w:val="top"/>
          </w:tcPr>
          <w:p>
            <w:pPr>
              <w:pStyle w:val="TableText"/>
              <w:ind w:left="35"/>
              <w:spacing w:before="54" w:line="219" w:lineRule="auto"/>
              <w:rPr/>
            </w:pPr>
            <w:r>
              <w:rPr>
                <w:color w:val="212529"/>
                <w:spacing w:val="-3"/>
              </w:rPr>
              <w:t>自然灾害救灾及恢复重建支出</w:t>
            </w:r>
          </w:p>
        </w:tc>
        <w:tc>
          <w:tcPr>
            <w:tcW w:w="1714" w:type="dxa"/>
            <w:vAlign w:val="top"/>
          </w:tcPr>
          <w:p>
            <w:pPr>
              <w:pStyle w:val="TableText"/>
              <w:ind w:right="23"/>
              <w:spacing w:before="82" w:line="183" w:lineRule="auto"/>
              <w:jc w:val="right"/>
              <w:rPr/>
            </w:pPr>
            <w:r>
              <w:rPr>
                <w:color w:val="212529"/>
                <w:spacing w:val="-3"/>
              </w:rPr>
              <w:t>2.27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2.27</w:t>
            </w:r>
          </w:p>
        </w:tc>
      </w:tr>
      <w:tr>
        <w:trPr>
          <w:trHeight w:val="314" w:hRule="atLeast"/>
        </w:trPr>
        <w:tc>
          <w:tcPr>
            <w:tcW w:w="1732" w:type="dxa"/>
            <w:vAlign w:val="top"/>
          </w:tcPr>
          <w:p>
            <w:pPr>
              <w:pStyle w:val="TableText"/>
              <w:ind w:left="11"/>
              <w:spacing w:before="83" w:line="183" w:lineRule="auto"/>
              <w:rPr/>
            </w:pPr>
            <w:r>
              <w:rPr>
                <w:color w:val="212529"/>
                <w:spacing w:val="-2"/>
              </w:rPr>
              <w:t>2240704</w:t>
            </w:r>
          </w:p>
        </w:tc>
        <w:tc>
          <w:tcPr>
            <w:tcW w:w="2518" w:type="dxa"/>
            <w:vAlign w:val="top"/>
          </w:tcPr>
          <w:p>
            <w:pPr>
              <w:pStyle w:val="TableText"/>
              <w:ind w:left="35"/>
              <w:spacing w:before="54" w:line="220" w:lineRule="auto"/>
              <w:rPr/>
            </w:pPr>
            <w:r>
              <w:rPr>
                <w:color w:val="212529"/>
                <w:spacing w:val="-4"/>
              </w:rPr>
              <w:t>自然灾害灾后重建补助</w:t>
            </w:r>
          </w:p>
        </w:tc>
        <w:tc>
          <w:tcPr>
            <w:tcW w:w="1714" w:type="dxa"/>
            <w:vAlign w:val="top"/>
          </w:tcPr>
          <w:p>
            <w:pPr>
              <w:pStyle w:val="TableText"/>
              <w:ind w:right="23"/>
              <w:spacing w:before="82" w:line="183" w:lineRule="auto"/>
              <w:jc w:val="right"/>
              <w:rPr/>
            </w:pPr>
            <w:r>
              <w:rPr>
                <w:color w:val="212529"/>
                <w:spacing w:val="-3"/>
              </w:rPr>
              <w:t>2.27</w:t>
            </w:r>
          </w:p>
        </w:tc>
        <w:tc>
          <w:tcPr>
            <w:tcW w:w="1583" w:type="dxa"/>
            <w:vAlign w:val="top"/>
          </w:tcPr>
          <w:p>
            <w:pPr>
              <w:rPr>
                <w:rFonts w:ascii="Arial"/>
                <w:sz w:val="21"/>
              </w:rPr>
            </w:pPr>
            <w:r/>
          </w:p>
        </w:tc>
        <w:tc>
          <w:tcPr>
            <w:tcW w:w="1469" w:type="dxa"/>
            <w:vAlign w:val="top"/>
          </w:tcPr>
          <w:p>
            <w:pPr>
              <w:pStyle w:val="TableText"/>
              <w:ind w:right="26"/>
              <w:spacing w:before="82" w:line="183" w:lineRule="auto"/>
              <w:jc w:val="right"/>
              <w:rPr/>
            </w:pPr>
            <w:r>
              <w:rPr>
                <w:color w:val="212529"/>
                <w:spacing w:val="-3"/>
              </w:rPr>
              <w:t>2.27</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rPr>
          <w:rFonts w:ascii="Arial"/>
          <w:sz w:val="21"/>
        </w:rPr>
      </w:pPr>
      <w:r/>
    </w:p>
    <w:p>
      <w:pPr>
        <w:sectPr>
          <w:footerReference w:type="default" r:id="rId9"/>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部门名称：古县古阳镇中心学校</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0"/>
              <w:spacing w:before="150" w:line="188" w:lineRule="auto"/>
              <w:rPr>
                <w:sz w:val="14"/>
                <w:szCs w:val="14"/>
              </w:rPr>
            </w:pPr>
            <w:r>
              <w:rPr>
                <w:sz w:val="14"/>
                <w:szCs w:val="14"/>
                <w:color w:val="212529"/>
              </w:rPr>
              <w:t>915.03</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5"/>
              <w:spacing w:before="151" w:line="187" w:lineRule="auto"/>
              <w:rPr>
                <w:sz w:val="14"/>
                <w:szCs w:val="14"/>
              </w:rPr>
            </w:pPr>
            <w:r>
              <w:rPr>
                <w:sz w:val="14"/>
                <w:szCs w:val="14"/>
                <w:color w:val="212529"/>
              </w:rPr>
              <w:t>32.63</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2"/>
              <w:spacing w:before="151" w:line="187" w:lineRule="auto"/>
              <w:rPr>
                <w:sz w:val="14"/>
                <w:szCs w:val="14"/>
              </w:rPr>
            </w:pPr>
            <w:r>
              <w:rPr>
                <w:sz w:val="14"/>
                <w:szCs w:val="14"/>
                <w:color w:val="212529"/>
              </w:rPr>
              <w:t>286.48</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rPr>
                <w:rFonts w:ascii="Arial"/>
                <w:sz w:val="21"/>
              </w:rPr>
            </w:pPr>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471"/>
              <w:spacing w:before="152" w:line="188" w:lineRule="auto"/>
              <w:rPr>
                <w:sz w:val="14"/>
                <w:szCs w:val="14"/>
              </w:rPr>
            </w:pPr>
            <w:r>
              <w:rPr>
                <w:sz w:val="14"/>
                <w:szCs w:val="14"/>
                <w:color w:val="212529"/>
                <w:spacing w:val="-1"/>
              </w:rPr>
              <w:t>120.56</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71"/>
              <w:spacing w:before="152" w:line="188" w:lineRule="auto"/>
              <w:rPr>
                <w:sz w:val="14"/>
                <w:szCs w:val="14"/>
              </w:rPr>
            </w:pPr>
            <w:r>
              <w:rPr>
                <w:sz w:val="14"/>
                <w:szCs w:val="14"/>
                <w:color w:val="212529"/>
                <w:spacing w:val="-1"/>
              </w:rPr>
              <w:t>196.99</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7" w:lineRule="auto"/>
              <w:rPr>
                <w:sz w:val="14"/>
                <w:szCs w:val="14"/>
              </w:rPr>
            </w:pPr>
            <w:r>
              <w:rPr>
                <w:sz w:val="14"/>
                <w:szCs w:val="14"/>
                <w:color w:val="212529"/>
              </w:rPr>
              <w:t>74.97</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471"/>
              <w:spacing w:before="153" w:line="188" w:lineRule="auto"/>
              <w:rPr>
                <w:sz w:val="14"/>
                <w:szCs w:val="14"/>
              </w:rPr>
            </w:pPr>
            <w:r>
              <w:rPr>
                <w:sz w:val="14"/>
                <w:szCs w:val="14"/>
                <w:color w:val="212529"/>
                <w:spacing w:val="-1"/>
              </w:rPr>
              <w:t>112.86</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5"/>
              <w:spacing w:before="154" w:line="187" w:lineRule="auto"/>
              <w:rPr>
                <w:sz w:val="14"/>
                <w:szCs w:val="14"/>
              </w:rPr>
            </w:pPr>
            <w:r>
              <w:rPr>
                <w:sz w:val="14"/>
                <w:szCs w:val="14"/>
                <w:color w:val="212529"/>
              </w:rPr>
              <w:t>32.80</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543"/>
              <w:spacing w:before="154" w:line="188" w:lineRule="auto"/>
              <w:rPr>
                <w:sz w:val="14"/>
                <w:szCs w:val="14"/>
              </w:rPr>
            </w:pPr>
            <w:r>
              <w:rPr>
                <w:sz w:val="14"/>
                <w:szCs w:val="14"/>
                <w:color w:val="212529"/>
                <w:spacing w:val="-2"/>
              </w:rPr>
              <w:t>11.49</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5"/>
              <w:spacing w:before="155" w:line="187" w:lineRule="auto"/>
              <w:rPr>
                <w:sz w:val="14"/>
                <w:szCs w:val="14"/>
              </w:rPr>
            </w:pPr>
            <w:r>
              <w:rPr>
                <w:sz w:val="14"/>
                <w:szCs w:val="14"/>
                <w:color w:val="212529"/>
              </w:rPr>
              <w:t>78.88</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5"/>
              <w:spacing w:before="155" w:line="187" w:lineRule="auto"/>
              <w:rPr>
                <w:sz w:val="14"/>
                <w:szCs w:val="14"/>
              </w:rPr>
            </w:pPr>
            <w:r>
              <w:rPr>
                <w:sz w:val="14"/>
                <w:szCs w:val="14"/>
                <w:color w:val="212529"/>
              </w:rPr>
              <w:t>72.56</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rPr>
          <w:rFonts w:ascii="Arial"/>
          <w:sz w:val="21"/>
        </w:rPr>
      </w:pPr>
      <w:r/>
    </w:p>
    <w:p>
      <w:pPr>
        <w:sectPr>
          <w:headerReference w:type="default" r:id="rId10"/>
          <w:footerReference w:type="default" r:id="rId11"/>
          <w:pgSz w:w="16840" w:h="11900"/>
          <w:pgMar w:top="610" w:right="600" w:bottom="312" w:left="600" w:header="357" w:footer="153" w:gutter="0"/>
        </w:sectPr>
        <w:rPr>
          <w:rFonts w:ascii="Arial" w:hAnsi="Arial" w:eastAsia="Arial" w:cs="Arial"/>
          <w:sz w:val="21"/>
          <w:szCs w:val="21"/>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5"/>
              <w:spacing w:before="153" w:line="187" w:lineRule="auto"/>
              <w:rPr>
                <w:sz w:val="14"/>
                <w:szCs w:val="14"/>
              </w:rPr>
            </w:pPr>
            <w:r>
              <w:rPr>
                <w:sz w:val="14"/>
                <w:szCs w:val="14"/>
                <w:color w:val="212529"/>
              </w:rPr>
              <w:t>72.56</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472"/>
              <w:spacing w:before="150" w:line="188" w:lineRule="auto"/>
              <w:rPr>
                <w:sz w:val="14"/>
                <w:szCs w:val="14"/>
              </w:rPr>
            </w:pPr>
            <w:r>
              <w:rPr>
                <w:sz w:val="14"/>
                <w:szCs w:val="14"/>
                <w:color w:val="212529"/>
                <w:spacing w:val="-2"/>
              </w:rPr>
              <w:t>11.86</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63"/>
              <w:spacing w:before="152" w:line="187" w:lineRule="auto"/>
              <w:rPr>
                <w:sz w:val="14"/>
                <w:szCs w:val="14"/>
              </w:rPr>
            </w:pPr>
            <w:r>
              <w:rPr>
                <w:sz w:val="14"/>
                <w:szCs w:val="14"/>
                <w:color w:val="212529"/>
              </w:rPr>
              <w:t>20.76</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0"/>
              <w:spacing w:before="154" w:line="187" w:lineRule="auto"/>
              <w:rPr>
                <w:sz w:val="14"/>
                <w:szCs w:val="14"/>
              </w:rPr>
            </w:pPr>
            <w:r>
              <w:rPr>
                <w:sz w:val="14"/>
                <w:szCs w:val="14"/>
                <w:color w:val="212529"/>
              </w:rPr>
              <w:t>987.58</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6"/>
              <w:spacing w:before="154" w:line="187" w:lineRule="auto"/>
              <w:rPr>
                <w:sz w:val="14"/>
                <w:szCs w:val="14"/>
              </w:rPr>
            </w:pPr>
            <w:r>
              <w:rPr>
                <w:sz w:val="14"/>
                <w:szCs w:val="14"/>
                <w:color w:val="212529"/>
              </w:rPr>
              <w:t>32.63</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12"/>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部门名称：古县古阳镇中心学校</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rPr>
          <w:rFonts w:ascii="Arial"/>
          <w:sz w:val="21"/>
        </w:rPr>
      </w:pPr>
      <w:r/>
    </w:p>
    <w:p>
      <w:pPr>
        <w:sectPr>
          <w:headerReference w:type="default" r:id="rId1"/>
          <w:footerReference w:type="default" r:id="rId13"/>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部门名称：古县古阳镇中心学校</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footerReference w:type="default" r:id="rId1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06"/>
        <w:gridCol w:w="1391"/>
        <w:gridCol w:w="1044"/>
        <w:gridCol w:w="1044"/>
        <w:gridCol w:w="1044"/>
        <w:gridCol w:w="1224"/>
        <w:gridCol w:w="1224"/>
        <w:gridCol w:w="1391"/>
        <w:gridCol w:w="1056"/>
        <w:gridCol w:w="1056"/>
        <w:gridCol w:w="1056"/>
        <w:gridCol w:w="1230"/>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20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0" w:type="dxa"/>
            <w:vAlign w:val="top"/>
            <w:tcBorders>
              <w:left w:val="single" w:color="FFFFFF" w:sz="2" w:space="0"/>
              <w:right w:val="single" w:color="FFFFFF" w:sz="2" w:space="0"/>
              <w:bottom w:val="single" w:color="FFFFFF" w:sz="4" w:space="0"/>
              <w:top w:val="single" w:color="FFFFFF" w:sz="4" w:space="0"/>
            </w:tcBorders>
          </w:tcPr>
          <w:p>
            <w:pPr>
              <w:pStyle w:val="TableText"/>
              <w:ind w:left="630"/>
              <w:spacing w:before="125" w:line="226" w:lineRule="auto"/>
              <w:rPr>
                <w:sz w:val="14"/>
                <w:szCs w:val="14"/>
              </w:rPr>
            </w:pPr>
            <w:r>
              <w:rPr>
                <w:sz w:val="14"/>
                <w:szCs w:val="14"/>
                <w:color w:val="212529"/>
                <w:spacing w:val="1"/>
              </w:rPr>
              <w:t>公开09表</w:t>
            </w:r>
          </w:p>
        </w:tc>
      </w:tr>
      <w:tr>
        <w:trPr>
          <w:trHeight w:val="421" w:hRule="atLeast"/>
        </w:trPr>
        <w:tc>
          <w:tcPr>
            <w:tcW w:w="259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部门名称：古县古阳镇中心学校</w:t>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2268" w:type="dxa"/>
            <w:vAlign w:val="top"/>
            <w:gridSpan w:val="2"/>
            <w:tcBorders>
              <w:left w:val="single" w:color="FFFFFF" w:sz="2" w:space="0"/>
              <w:right w:val="single" w:color="FFFFFF" w:sz="2" w:space="0"/>
              <w:top w:val="single" w:color="FFFFFF" w:sz="4" w:space="0"/>
            </w:tcBorders>
          </w:tcPr>
          <w:p>
            <w:pPr>
              <w:pStyle w:val="TableText"/>
              <w:ind w:left="838"/>
              <w:spacing w:before="126" w:line="225" w:lineRule="auto"/>
              <w:rPr>
                <w:sz w:val="14"/>
                <w:szCs w:val="14"/>
              </w:rPr>
            </w:pPr>
            <w:r>
              <w:rPr>
                <w:sz w:val="14"/>
                <w:szCs w:val="14"/>
                <w:color w:val="212529"/>
                <w:spacing w:val="1"/>
              </w:rPr>
              <w:t>2023年度</w:t>
            </w:r>
          </w:p>
        </w:tc>
        <w:tc>
          <w:tcPr>
            <w:tcW w:w="1224" w:type="dxa"/>
            <w:vAlign w:val="top"/>
            <w:tcBorders>
              <w:left w:val="single" w:color="FFFFFF" w:sz="2" w:space="0"/>
              <w:right w:val="single" w:color="FFFFFF" w:sz="2" w:space="0"/>
              <w:top w:val="single" w:color="FFFFFF" w:sz="4" w:space="0"/>
            </w:tcBorders>
          </w:tcPr>
          <w:p>
            <w:pPr>
              <w:rPr>
                <w:rFonts w:ascii="Arial"/>
                <w:sz w:val="21"/>
              </w:rPr>
            </w:pPr>
            <w:r/>
          </w:p>
        </w:tc>
        <w:tc>
          <w:tcPr>
            <w:tcW w:w="1391"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230" w:type="dxa"/>
            <w:vAlign w:val="top"/>
            <w:tcBorders>
              <w:left w:val="single" w:color="FFFFFF" w:sz="2" w:space="0"/>
              <w:right w:val="single" w:color="FFFFFF" w:sz="2" w:space="0"/>
              <w:top w:val="single" w:color="FFFFFF" w:sz="4" w:space="0"/>
            </w:tcBorders>
          </w:tcPr>
          <w:p>
            <w:pPr>
              <w:pStyle w:val="TableText"/>
              <w:ind w:left="266"/>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206" w:type="dxa"/>
            <w:vAlign w:val="top"/>
            <w:vMerge w:val="restart"/>
            <w:tcBorders>
              <w:bottom w:val="nil"/>
            </w:tcBorders>
          </w:tcPr>
          <w:p>
            <w:pPr>
              <w:spacing w:line="288" w:lineRule="auto"/>
              <w:rPr>
                <w:rFonts w:ascii="Arial"/>
                <w:sz w:val="21"/>
              </w:rPr>
            </w:pPr>
            <w:r/>
          </w:p>
          <w:p>
            <w:pPr>
              <w:ind w:left="401"/>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86" w:right="108"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32" w:type="dxa"/>
            <w:vAlign w:val="top"/>
            <w:gridSpan w:val="3"/>
          </w:tcPr>
          <w:p>
            <w:pPr>
              <w:ind w:left="46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24" w:type="dxa"/>
            <w:vAlign w:val="top"/>
            <w:vMerge w:val="restart"/>
            <w:tcBorders>
              <w:bottom w:val="nil"/>
            </w:tcBorders>
          </w:tcPr>
          <w:p>
            <w:pPr>
              <w:spacing w:line="287" w:lineRule="auto"/>
              <w:rPr>
                <w:rFonts w:ascii="Arial"/>
                <w:sz w:val="21"/>
              </w:rPr>
            </w:pPr>
            <w:r/>
          </w:p>
          <w:p>
            <w:pPr>
              <w:ind w:left="13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224" w:type="dxa"/>
            <w:vAlign w:val="top"/>
            <w:vMerge w:val="restart"/>
            <w:tcBorders>
              <w:bottom w:val="nil"/>
            </w:tcBorders>
          </w:tcPr>
          <w:p>
            <w:pPr>
              <w:spacing w:line="288" w:lineRule="auto"/>
              <w:rPr>
                <w:rFonts w:ascii="Arial"/>
                <w:sz w:val="21"/>
              </w:rPr>
            </w:pPr>
            <w:r/>
          </w:p>
          <w:p>
            <w:pPr>
              <w:ind w:left="41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91" w:right="10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68" w:type="dxa"/>
            <w:vAlign w:val="top"/>
            <w:gridSpan w:val="3"/>
          </w:tcPr>
          <w:p>
            <w:pPr>
              <w:ind w:left="485"/>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30" w:type="dxa"/>
            <w:vAlign w:val="top"/>
            <w:vMerge w:val="restart"/>
            <w:tcBorders>
              <w:bottom w:val="nil"/>
            </w:tcBorders>
          </w:tcPr>
          <w:p>
            <w:pPr>
              <w:spacing w:line="287" w:lineRule="auto"/>
              <w:rPr>
                <w:rFonts w:ascii="Arial"/>
                <w:sz w:val="21"/>
              </w:rPr>
            </w:pPr>
            <w:r/>
          </w:p>
          <w:p>
            <w:pPr>
              <w:ind w:left="14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206"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44" w:type="dxa"/>
            <w:vAlign w:val="top"/>
          </w:tcPr>
          <w:p>
            <w:pPr>
              <w:ind w:left="31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44" w:type="dxa"/>
            <w:vAlign w:val="top"/>
          </w:tcPr>
          <w:p>
            <w:pPr>
              <w:ind w:left="320" w:right="8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44" w:type="dxa"/>
            <w:vAlign w:val="top"/>
          </w:tcPr>
          <w:p>
            <w:pPr>
              <w:ind w:left="52" w:right="8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24" w:type="dxa"/>
            <w:vAlign w:val="top"/>
            <w:vMerge w:val="continue"/>
            <w:tcBorders>
              <w:top w:val="nil"/>
            </w:tcBorders>
          </w:tcPr>
          <w:p>
            <w:pPr>
              <w:rPr>
                <w:rFonts w:ascii="Arial"/>
                <w:sz w:val="21"/>
              </w:rPr>
            </w:pPr>
            <w:r/>
          </w:p>
        </w:tc>
        <w:tc>
          <w:tcPr>
            <w:tcW w:w="1224"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56" w:type="dxa"/>
            <w:vAlign w:val="top"/>
          </w:tcPr>
          <w:p>
            <w:pPr>
              <w:ind w:left="329"/>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56" w:type="dxa"/>
            <w:vAlign w:val="top"/>
          </w:tcPr>
          <w:p>
            <w:pPr>
              <w:ind w:left="331" w:right="88"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56" w:type="dxa"/>
            <w:vAlign w:val="top"/>
          </w:tcPr>
          <w:p>
            <w:pPr>
              <w:ind w:left="63" w:right="88"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30" w:type="dxa"/>
            <w:vAlign w:val="top"/>
            <w:vMerge w:val="continue"/>
            <w:tcBorders>
              <w:top w:val="nil"/>
            </w:tcBorders>
          </w:tcPr>
          <w:p>
            <w:pPr>
              <w:rPr>
                <w:rFonts w:ascii="Arial"/>
                <w:sz w:val="21"/>
              </w:rPr>
            </w:pPr>
            <w:r/>
          </w:p>
        </w:tc>
      </w:tr>
      <w:tr>
        <w:trPr>
          <w:trHeight w:val="421" w:hRule="atLeast"/>
        </w:trPr>
        <w:tc>
          <w:tcPr>
            <w:tcW w:w="1206" w:type="dxa"/>
            <w:vAlign w:val="top"/>
          </w:tcPr>
          <w:p>
            <w:pPr>
              <w:pStyle w:val="TableText"/>
              <w:ind w:left="556"/>
              <w:spacing w:before="140" w:line="184" w:lineRule="auto"/>
              <w:rPr/>
            </w:pPr>
            <w:r>
              <w:rPr>
                <w:color w:val="212529"/>
              </w:rPr>
              <w:t>1</w:t>
            </w:r>
          </w:p>
        </w:tc>
        <w:tc>
          <w:tcPr>
            <w:tcW w:w="1391" w:type="dxa"/>
            <w:vAlign w:val="top"/>
          </w:tcPr>
          <w:p>
            <w:pPr>
              <w:pStyle w:val="TableText"/>
              <w:ind w:left="636"/>
              <w:spacing w:before="141" w:line="183" w:lineRule="auto"/>
              <w:rPr/>
            </w:pPr>
            <w:r>
              <w:rPr>
                <w:color w:val="212529"/>
              </w:rPr>
              <w:t>2</w:t>
            </w:r>
          </w:p>
        </w:tc>
        <w:tc>
          <w:tcPr>
            <w:tcW w:w="1044" w:type="dxa"/>
            <w:vAlign w:val="top"/>
          </w:tcPr>
          <w:p>
            <w:pPr>
              <w:pStyle w:val="TableText"/>
              <w:ind w:left="465"/>
              <w:spacing w:before="141" w:line="183" w:lineRule="auto"/>
              <w:rPr/>
            </w:pPr>
            <w:r>
              <w:rPr>
                <w:color w:val="212529"/>
              </w:rPr>
              <w:t>3</w:t>
            </w:r>
          </w:p>
        </w:tc>
        <w:tc>
          <w:tcPr>
            <w:tcW w:w="1044" w:type="dxa"/>
            <w:vAlign w:val="top"/>
          </w:tcPr>
          <w:p>
            <w:pPr>
              <w:pStyle w:val="TableText"/>
              <w:ind w:left="461"/>
              <w:spacing w:before="141" w:line="183" w:lineRule="auto"/>
              <w:rPr/>
            </w:pPr>
            <w:r>
              <w:rPr>
                <w:color w:val="212529"/>
              </w:rPr>
              <w:t>4</w:t>
            </w:r>
          </w:p>
        </w:tc>
        <w:tc>
          <w:tcPr>
            <w:tcW w:w="1044" w:type="dxa"/>
            <w:vAlign w:val="top"/>
          </w:tcPr>
          <w:p>
            <w:pPr>
              <w:pStyle w:val="TableText"/>
              <w:ind w:left="466"/>
              <w:spacing w:before="142" w:line="182" w:lineRule="auto"/>
              <w:rPr/>
            </w:pPr>
            <w:r>
              <w:rPr>
                <w:color w:val="212529"/>
              </w:rPr>
              <w:t>5</w:t>
            </w:r>
          </w:p>
        </w:tc>
        <w:tc>
          <w:tcPr>
            <w:tcW w:w="1224" w:type="dxa"/>
            <w:vAlign w:val="top"/>
          </w:tcPr>
          <w:p>
            <w:pPr>
              <w:pStyle w:val="TableText"/>
              <w:ind w:left="555"/>
              <w:spacing w:before="141" w:line="183" w:lineRule="auto"/>
              <w:rPr/>
            </w:pPr>
            <w:r>
              <w:rPr>
                <w:color w:val="212529"/>
              </w:rPr>
              <w:t>6</w:t>
            </w:r>
          </w:p>
        </w:tc>
        <w:tc>
          <w:tcPr>
            <w:tcW w:w="1224" w:type="dxa"/>
            <w:vAlign w:val="top"/>
          </w:tcPr>
          <w:p>
            <w:pPr>
              <w:pStyle w:val="TableText"/>
              <w:ind w:left="558"/>
              <w:spacing w:before="142" w:line="182" w:lineRule="auto"/>
              <w:rPr/>
            </w:pPr>
            <w:r>
              <w:rPr>
                <w:color w:val="212529"/>
              </w:rPr>
              <w:t>7</w:t>
            </w:r>
          </w:p>
        </w:tc>
        <w:tc>
          <w:tcPr>
            <w:tcW w:w="1391" w:type="dxa"/>
            <w:vAlign w:val="top"/>
          </w:tcPr>
          <w:p>
            <w:pPr>
              <w:pStyle w:val="TableText"/>
              <w:ind w:left="639"/>
              <w:spacing w:before="141" w:line="183" w:lineRule="auto"/>
              <w:rPr/>
            </w:pPr>
            <w:r>
              <w:rPr>
                <w:color w:val="212529"/>
              </w:rPr>
              <w:t>8</w:t>
            </w:r>
          </w:p>
        </w:tc>
        <w:tc>
          <w:tcPr>
            <w:tcW w:w="1056" w:type="dxa"/>
            <w:vAlign w:val="top"/>
          </w:tcPr>
          <w:p>
            <w:pPr>
              <w:pStyle w:val="TableText"/>
              <w:ind w:left="473"/>
              <w:spacing w:before="141" w:line="183" w:lineRule="auto"/>
              <w:rPr/>
            </w:pPr>
            <w:r>
              <w:rPr>
                <w:color w:val="212529"/>
              </w:rPr>
              <w:t>9</w:t>
            </w:r>
          </w:p>
        </w:tc>
        <w:tc>
          <w:tcPr>
            <w:tcW w:w="1056" w:type="dxa"/>
            <w:vAlign w:val="top"/>
          </w:tcPr>
          <w:p>
            <w:pPr>
              <w:pStyle w:val="TableText"/>
              <w:ind w:left="444"/>
              <w:spacing w:before="140" w:line="184" w:lineRule="auto"/>
              <w:rPr/>
            </w:pPr>
            <w:r>
              <w:rPr>
                <w:color w:val="212529"/>
                <w:spacing w:val="-11"/>
              </w:rPr>
              <w:t>10</w:t>
            </w:r>
          </w:p>
        </w:tc>
        <w:tc>
          <w:tcPr>
            <w:tcW w:w="1056" w:type="dxa"/>
            <w:vAlign w:val="top"/>
          </w:tcPr>
          <w:p>
            <w:pPr>
              <w:pStyle w:val="TableText"/>
              <w:ind w:left="445"/>
              <w:spacing w:before="140" w:line="184" w:lineRule="auto"/>
              <w:rPr/>
            </w:pPr>
            <w:r>
              <w:rPr>
                <w:color w:val="212529"/>
                <w:spacing w:val="-11"/>
              </w:rPr>
              <w:t>11</w:t>
            </w:r>
          </w:p>
        </w:tc>
        <w:tc>
          <w:tcPr>
            <w:tcW w:w="1230" w:type="dxa"/>
            <w:vAlign w:val="top"/>
          </w:tcPr>
          <w:p>
            <w:pPr>
              <w:pStyle w:val="TableText"/>
              <w:ind w:left="529"/>
              <w:spacing w:before="140" w:line="184" w:lineRule="auto"/>
              <w:rPr/>
            </w:pPr>
            <w:r>
              <w:rPr>
                <w:color w:val="212529"/>
                <w:spacing w:val="-11"/>
              </w:rPr>
              <w:t>12</w:t>
            </w:r>
          </w:p>
        </w:tc>
      </w:tr>
      <w:tr>
        <w:trPr>
          <w:trHeight w:val="427" w:hRule="atLeast"/>
        </w:trPr>
        <w:tc>
          <w:tcPr>
            <w:tcW w:w="1206" w:type="dxa"/>
            <w:vAlign w:val="top"/>
          </w:tcPr>
          <w:p>
            <w:pPr>
              <w:pStyle w:val="TableText"/>
              <w:ind w:left="814"/>
              <w:spacing w:before="141" w:line="184" w:lineRule="auto"/>
              <w:rPr/>
            </w:pPr>
            <w:r>
              <w:rPr>
                <w:color w:val="212529"/>
                <w:spacing w:val="-3"/>
              </w:rPr>
              <w:t>0.12</w:t>
            </w:r>
          </w:p>
        </w:tc>
        <w:tc>
          <w:tcPr>
            <w:tcW w:w="1391"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224" w:type="dxa"/>
            <w:vAlign w:val="top"/>
          </w:tcPr>
          <w:p>
            <w:pPr>
              <w:pStyle w:val="TableText"/>
              <w:ind w:right="25"/>
              <w:spacing w:before="141" w:line="184" w:lineRule="auto"/>
              <w:jc w:val="right"/>
              <w:rPr/>
            </w:pPr>
            <w:r>
              <w:rPr>
                <w:color w:val="212529"/>
                <w:spacing w:val="-3"/>
              </w:rPr>
              <w:t>0.12</w:t>
            </w:r>
          </w:p>
        </w:tc>
        <w:tc>
          <w:tcPr>
            <w:tcW w:w="1224" w:type="dxa"/>
            <w:vAlign w:val="top"/>
          </w:tcPr>
          <w:p>
            <w:pPr>
              <w:pStyle w:val="TableText"/>
              <w:ind w:right="25"/>
              <w:spacing w:before="141" w:line="184" w:lineRule="auto"/>
              <w:jc w:val="right"/>
              <w:rPr/>
            </w:pPr>
            <w:r>
              <w:rPr>
                <w:color w:val="212529"/>
                <w:spacing w:val="-3"/>
              </w:rPr>
              <w:t>0.12</w:t>
            </w:r>
          </w:p>
        </w:tc>
        <w:tc>
          <w:tcPr>
            <w:tcW w:w="1391"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230" w:type="dxa"/>
            <w:vAlign w:val="top"/>
          </w:tcPr>
          <w:p>
            <w:pPr>
              <w:pStyle w:val="TableText"/>
              <w:ind w:right="26"/>
              <w:spacing w:before="141" w:line="184" w:lineRule="auto"/>
              <w:jc w:val="right"/>
              <w:rPr/>
            </w:pPr>
            <w:r>
              <w:rPr>
                <w:color w:val="212529"/>
                <w:spacing w:val="-3"/>
              </w:rPr>
              <w:t>0.12</w:t>
            </w:r>
          </w:p>
        </w:tc>
      </w:tr>
    </w:tbl>
    <w:p>
      <w:pPr>
        <w:pStyle w:val="BodyText"/>
        <w:ind w:left="841"/>
        <w:spacing w:before="1" w:line="209" w:lineRule="auto"/>
        <w:rPr>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rPr>
          <w:sz w:val="18"/>
          <w:szCs w:val="18"/>
          <w:color w:val="212529"/>
        </w:rPr>
        <w:t>注：本表反映部门本年度  三公  经费支出预决算情况。其中，预算数为  三公  经费全年预算数，反映按规定程序调整后的预算数；决算数是包括当年财政拨款和以前年</w:t>
      </w:r>
      <w:r>
        <w:rPr>
          <w:sz w:val="18"/>
          <w:szCs w:val="18"/>
          <w:color w:val="212529"/>
          <w:spacing w:val="-1"/>
        </w:rPr>
        <w:t>度结</w:t>
      </w:r>
    </w:p>
    <w:p>
      <w:pPr>
        <w:pStyle w:val="BodyText"/>
        <w:ind w:left="842"/>
        <w:spacing w:line="220" w:lineRule="auto"/>
        <w:rPr>
          <w:sz w:val="18"/>
          <w:szCs w:val="18"/>
        </w:rPr>
      </w:pPr>
      <w:r>
        <w:rPr>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rPr>
                <w:rFonts w:ascii="Arial"/>
                <w:sz w:val="21"/>
              </w:rPr>
            </w:pPr>
            <w:r/>
          </w:p>
        </w:tc>
      </w:tr>
    </w:tbl>
    <w:p>
      <w:pPr>
        <w:rPr>
          <w:rFonts w:ascii="Arial"/>
          <w:sz w:val="21"/>
        </w:rPr>
      </w:pPr>
      <w:r/>
    </w:p>
    <w:p>
      <w:pPr>
        <w:sectPr>
          <w:headerReference w:type="default" r:id="rId10"/>
          <w:footerReference w:type="default" r:id="rId15"/>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单位名称：古县古阳镇中心学校</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
          <w:footerReference w:type="default" r:id="rId16"/>
          <w:pgSz w:w="11900" w:h="16840"/>
          <w:pgMar w:top="610" w:right="600" w:bottom="312" w:left="600" w:header="357" w:footer="153" w:gutter="0"/>
        </w:sectPr>
        <w:rPr>
          <w:rFonts w:ascii="Arial" w:hAnsi="Arial" w:eastAsia="Arial" w:cs="Arial"/>
          <w:sz w:val="21"/>
          <w:szCs w:val="21"/>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7" w:right="913" w:firstLine="498"/>
        <w:spacing w:before="132"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2023年度收入总计1,240.80万元，支出总计1,240.80万元。与上年相比，收入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2"/>
        </w:rPr>
        <w:t>总计减少30.20万元，下降2.38%，支出总计减少30.20</w:t>
      </w:r>
      <w:r>
        <w:rPr>
          <w:rFonts w:ascii="FangSong" w:hAnsi="FangSong" w:eastAsia="FangSong" w:cs="FangSong"/>
          <w:sz w:val="25"/>
          <w:szCs w:val="25"/>
          <w:spacing w:val="1"/>
        </w:rPr>
        <w:t>万元，下降2.38%。主要原因</w:t>
      </w:r>
      <w:r>
        <w:rPr>
          <w:rFonts w:ascii="FangSong" w:hAnsi="FangSong" w:eastAsia="FangSong" w:cs="FangSong"/>
          <w:sz w:val="25"/>
          <w:szCs w:val="25"/>
        </w:rPr>
        <w:t xml:space="preserve"> </w:t>
      </w:r>
      <w:r>
        <w:rPr>
          <w:rFonts w:ascii="FangSong" w:hAnsi="FangSong" w:eastAsia="FangSong" w:cs="FangSong"/>
          <w:sz w:val="25"/>
          <w:szCs w:val="25"/>
          <w:spacing w:val="1"/>
        </w:rPr>
        <w:t>是人员减少人员经费减少，生均公用经费及灾后重建等项目支出减少。</w:t>
      </w:r>
    </w:p>
    <w:p>
      <w:pPr>
        <w:ind w:left="1202"/>
        <w:spacing w:before="40"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2023年度收入合计1,240.80万元</w:t>
      </w:r>
      <w:r>
        <w:rPr>
          <w:rFonts w:ascii="FangSong" w:hAnsi="FangSong" w:eastAsia="FangSong" w:cs="FangSong"/>
          <w:sz w:val="25"/>
          <w:szCs w:val="25"/>
        </w:rPr>
        <w:t>，其中：</w:t>
      </w:r>
    </w:p>
    <w:p>
      <w:pPr>
        <w:ind w:left="1212" w:right="4646"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财政拨款收入1,240.80万元，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2023年度支出合计1,240.80万元，其中：</w:t>
      </w:r>
      <w:r>
        <w:rPr>
          <w:rFonts w:ascii="FangSong" w:hAnsi="FangSong" w:eastAsia="FangSong" w:cs="FangSong"/>
          <w:sz w:val="25"/>
          <w:szCs w:val="25"/>
          <w:spacing w:val="15"/>
        </w:rPr>
        <w:t xml:space="preserve"> </w:t>
      </w:r>
      <w:r>
        <w:rPr>
          <w:rFonts w:ascii="FangSong" w:hAnsi="FangSong" w:eastAsia="FangSong" w:cs="FangSong"/>
          <w:sz w:val="25"/>
          <w:szCs w:val="25"/>
          <w:spacing w:val="-2"/>
        </w:rPr>
        <w:t>基本支出1,020.21万元，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占比82.22%；</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项目支出220.60万元，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占比17.78%；</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10" w:right="799" w:firstLine="495"/>
        <w:spacing w:before="129" w:line="312" w:lineRule="auto"/>
        <w:rPr>
          <w:rFonts w:ascii="FangSong" w:hAnsi="FangSong" w:eastAsia="FangSong" w:cs="FangSong"/>
          <w:sz w:val="25"/>
          <w:szCs w:val="25"/>
        </w:rPr>
      </w:pPr>
      <w:r>
        <w:rPr>
          <w:rFonts w:ascii="FangSong" w:hAnsi="FangSong" w:eastAsia="FangSong" w:cs="FangSong"/>
          <w:sz w:val="25"/>
          <w:szCs w:val="25"/>
          <w:spacing w:val="1"/>
        </w:rPr>
        <w:t>2023年度财政拨款收入总计1,240.80万元，支出总计1,240.80万元。与上年相</w:t>
      </w:r>
      <w:r>
        <w:rPr>
          <w:rFonts w:ascii="FangSong" w:hAnsi="FangSong" w:eastAsia="FangSong" w:cs="FangSong"/>
          <w:sz w:val="25"/>
          <w:szCs w:val="25"/>
          <w:spacing w:val="5"/>
        </w:rPr>
        <w:t xml:space="preserve">  </w:t>
      </w:r>
      <w:r>
        <w:rPr>
          <w:rFonts w:ascii="FangSong" w:hAnsi="FangSong" w:eastAsia="FangSong" w:cs="FangSong"/>
          <w:sz w:val="25"/>
          <w:szCs w:val="25"/>
          <w:spacing w:val="2"/>
        </w:rPr>
        <w:t>比，财政拨款收入总计减少30.20万元</w:t>
      </w:r>
      <w:r>
        <w:rPr>
          <w:rFonts w:ascii="FangSong" w:hAnsi="FangSong" w:eastAsia="FangSong" w:cs="FangSong"/>
          <w:sz w:val="25"/>
          <w:szCs w:val="25"/>
          <w:spacing w:val="1"/>
        </w:rPr>
        <w:t>，下降2.38%；财政拨款支出总计减少30.20万</w:t>
      </w:r>
      <w:r>
        <w:rPr>
          <w:rFonts w:ascii="FangSong" w:hAnsi="FangSong" w:eastAsia="FangSong" w:cs="FangSong"/>
          <w:sz w:val="25"/>
          <w:szCs w:val="25"/>
        </w:rPr>
        <w:t xml:space="preserve"> </w:t>
      </w:r>
      <w:r>
        <w:rPr>
          <w:rFonts w:ascii="FangSong" w:hAnsi="FangSong" w:eastAsia="FangSong" w:cs="FangSong"/>
          <w:sz w:val="25"/>
          <w:szCs w:val="25"/>
          <w:spacing w:val="1"/>
        </w:rPr>
        <w:t>元，下降2.38%。主要原因是人员减少人员经费减少，生均公用经费及灾后重建等项</w:t>
      </w:r>
      <w:r>
        <w:rPr>
          <w:rFonts w:ascii="FangSong" w:hAnsi="FangSong" w:eastAsia="FangSong" w:cs="FangSong"/>
          <w:sz w:val="25"/>
          <w:szCs w:val="25"/>
          <w:spacing w:val="18"/>
        </w:rPr>
        <w:t xml:space="preserve"> </w:t>
      </w:r>
      <w:r>
        <w:rPr>
          <w:rFonts w:ascii="FangSong" w:hAnsi="FangSong" w:eastAsia="FangSong" w:cs="FangSong"/>
          <w:sz w:val="25"/>
          <w:szCs w:val="25"/>
          <w:spacing w:val="-3"/>
        </w:rPr>
        <w:t>目支出减少。</w:t>
      </w:r>
    </w:p>
    <w:p>
      <w:pPr>
        <w:ind w:left="1204"/>
        <w:spacing w:before="4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2023年一般公共预算财政拨款决算支出1,240.80</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711" w:right="793" w:firstLine="5"/>
        <w:spacing w:before="131" w:line="304"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100.00%。与上年相比，一般公共预算财政拨款支出减少30.20万元，下降2.38%。主</w:t>
      </w:r>
      <w:r>
        <w:rPr>
          <w:rFonts w:ascii="FangSong" w:hAnsi="FangSong" w:eastAsia="FangSong" w:cs="FangSong"/>
          <w:sz w:val="25"/>
          <w:szCs w:val="25"/>
          <w:spacing w:val="18"/>
        </w:rPr>
        <w:t xml:space="preserve"> </w:t>
      </w:r>
      <w:r>
        <w:rPr>
          <w:rFonts w:ascii="FangSong" w:hAnsi="FangSong" w:eastAsia="FangSong" w:cs="FangSong"/>
          <w:sz w:val="25"/>
          <w:szCs w:val="25"/>
          <w:spacing w:val="1"/>
        </w:rPr>
        <w:t>要原因是人员减少人员经费减少，生均公用经费及灾后重建等项目支出减少。</w:t>
      </w:r>
    </w:p>
    <w:p>
      <w:pPr>
        <w:ind w:left="1221"/>
        <w:spacing w:before="41"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0" w:right="1496" w:hanging="4"/>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2023年度一般公共预算财政拨款支出1,240.80万元，主要用于以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2"/>
        </w:rPr>
        <w:t>教育支出(类)899.26万元，</w:t>
      </w:r>
      <w:r>
        <w:rPr>
          <w:rFonts w:ascii="FangSong" w:hAnsi="FangSong" w:eastAsia="FangSong" w:cs="FangSong"/>
          <w:sz w:val="25"/>
          <w:szCs w:val="25"/>
          <w:spacing w:val="-58"/>
        </w:rPr>
        <w:t xml:space="preserve"> </w:t>
      </w:r>
      <w:r>
        <w:rPr>
          <w:rFonts w:ascii="FangSong" w:hAnsi="FangSong" w:eastAsia="FangSong" w:cs="FangSong"/>
          <w:sz w:val="25"/>
          <w:szCs w:val="25"/>
          <w:spacing w:val="-2"/>
        </w:rPr>
        <w:t>占比72.47%；</w:t>
      </w:r>
    </w:p>
    <w:p>
      <w:pPr>
        <w:spacing w:line="304"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spacing w:line="422" w:lineRule="auto"/>
        <w:rPr>
          <w:rFonts w:ascii="Arial"/>
          <w:sz w:val="21"/>
        </w:rPr>
      </w:pPr>
      <w:r/>
    </w:p>
    <w:p>
      <w:pPr>
        <w:ind w:left="1210" w:right="3764"/>
        <w:spacing w:before="8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社会保障和就业支出(类)260.38万元，</w:t>
      </w:r>
      <w:r>
        <w:rPr>
          <w:rFonts w:ascii="FangSong" w:hAnsi="FangSong" w:eastAsia="FangSong" w:cs="FangSong"/>
          <w:sz w:val="25"/>
          <w:szCs w:val="25"/>
          <w:spacing w:val="-62"/>
        </w:rPr>
        <w:t xml:space="preserve"> </w:t>
      </w:r>
      <w:r>
        <w:rPr>
          <w:rFonts w:ascii="FangSong" w:hAnsi="FangSong" w:eastAsia="FangSong" w:cs="FangSong"/>
          <w:sz w:val="25"/>
          <w:szCs w:val="25"/>
          <w:spacing w:val="-3"/>
        </w:rPr>
        <w:t>占比20.99%；</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住房保障支出(类)78.88万元，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占比6.36%；</w:t>
      </w:r>
    </w:p>
    <w:p>
      <w:pPr>
        <w:ind w:left="1214"/>
        <w:spacing w:before="42" w:line="224" w:lineRule="auto"/>
        <w:rPr>
          <w:rFonts w:ascii="FangSong" w:hAnsi="FangSong" w:eastAsia="FangSong" w:cs="FangSong"/>
          <w:sz w:val="25"/>
          <w:szCs w:val="25"/>
        </w:rPr>
      </w:pPr>
      <w:r>
        <w:rPr>
          <w:rFonts w:ascii="FangSong" w:hAnsi="FangSong" w:eastAsia="FangSong" w:cs="FangSong"/>
          <w:sz w:val="25"/>
          <w:szCs w:val="25"/>
          <w:spacing w:val="-1"/>
        </w:rPr>
        <w:t>灾害防治及应急管理支出(类)2.27万元，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占比0.18%。</w:t>
      </w:r>
    </w:p>
    <w:p>
      <w:pPr>
        <w:ind w:left="1221"/>
        <w:spacing w:before="129"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2023年度一般公共预算财政拨款支出年初预算1,292.63万元，支出决算</w:t>
      </w:r>
      <w:r>
        <w:rPr>
          <w:rFonts w:ascii="FangSong" w:hAnsi="FangSong" w:eastAsia="FangSong" w:cs="FangSong"/>
          <w:sz w:val="25"/>
          <w:szCs w:val="25"/>
          <w:spacing w:val="12"/>
        </w:rPr>
        <w:t xml:space="preserve"> </w:t>
      </w:r>
      <w:r>
        <w:rPr>
          <w:rFonts w:ascii="FangSong" w:hAnsi="FangSong" w:eastAsia="FangSong" w:cs="FangSong"/>
          <w:sz w:val="25"/>
          <w:szCs w:val="25"/>
        </w:rPr>
        <w:t>1,240.80万元，完成年初预算的95.99%。其中：</w:t>
      </w:r>
    </w:p>
    <w:p>
      <w:pPr>
        <w:ind w:left="700" w:right="937" w:firstLine="899"/>
        <w:spacing w:before="41" w:line="304" w:lineRule="auto"/>
        <w:rPr>
          <w:rFonts w:ascii="FangSong" w:hAnsi="FangSong" w:eastAsia="FangSong" w:cs="FangSong"/>
          <w:sz w:val="25"/>
          <w:szCs w:val="25"/>
        </w:rPr>
      </w:pPr>
      <w:r>
        <w:rPr>
          <w:rFonts w:ascii="FangSong" w:hAnsi="FangSong" w:eastAsia="FangSong" w:cs="FangSong"/>
          <w:sz w:val="25"/>
          <w:szCs w:val="25"/>
          <w:spacing w:val="1"/>
        </w:rPr>
        <w:t>1、教育支出年初预算930.26万元，支出决算899.26万元，完成年初</w:t>
      </w:r>
      <w:r>
        <w:rPr>
          <w:rFonts w:ascii="FangSong" w:hAnsi="FangSong" w:eastAsia="FangSong" w:cs="FangSong"/>
          <w:sz w:val="25"/>
          <w:szCs w:val="25"/>
        </w:rPr>
        <w:t>预算的</w:t>
      </w:r>
      <w:r>
        <w:rPr>
          <w:rFonts w:ascii="FangSong" w:hAnsi="FangSong" w:eastAsia="FangSong" w:cs="FangSong"/>
          <w:sz w:val="25"/>
          <w:szCs w:val="25"/>
        </w:rPr>
        <w:t xml:space="preserve"> </w:t>
      </w:r>
      <w:r>
        <w:rPr>
          <w:rFonts w:ascii="FangSong" w:hAnsi="FangSong" w:eastAsia="FangSong" w:cs="FangSong"/>
          <w:sz w:val="25"/>
          <w:szCs w:val="25"/>
          <w:spacing w:val="2"/>
        </w:rPr>
        <w:t>96.67%，用于人员经费、生均公用经费及</w:t>
      </w:r>
      <w:r>
        <w:rPr>
          <w:rFonts w:ascii="FangSong" w:hAnsi="FangSong" w:eastAsia="FangSong" w:cs="FangSong"/>
          <w:sz w:val="25"/>
          <w:szCs w:val="25"/>
          <w:spacing w:val="1"/>
        </w:rPr>
        <w:t>困难学生补助等项目支出，比上年减少</w:t>
      </w:r>
    </w:p>
    <w:p>
      <w:pPr>
        <w:ind w:left="702" w:right="811" w:firstLine="3"/>
        <w:spacing w:before="40" w:line="313" w:lineRule="auto"/>
        <w:rPr>
          <w:rFonts w:ascii="FangSong" w:hAnsi="FangSong" w:eastAsia="FangSong" w:cs="FangSong"/>
          <w:sz w:val="25"/>
          <w:szCs w:val="25"/>
        </w:rPr>
      </w:pPr>
      <w:r>
        <w:rPr>
          <w:rFonts w:ascii="FangSong" w:hAnsi="FangSong" w:eastAsia="FangSong" w:cs="FangSong"/>
          <w:sz w:val="25"/>
          <w:szCs w:val="25"/>
          <w:spacing w:val="1"/>
        </w:rPr>
        <w:t>77.72万元，减少8%，主要原因是人员减少人员经费减少，生均公用经费支出减少。</w:t>
      </w:r>
      <w:r>
        <w:rPr>
          <w:rFonts w:ascii="FangSong" w:hAnsi="FangSong" w:eastAsia="FangSong" w:cs="FangSong"/>
          <w:sz w:val="25"/>
          <w:szCs w:val="25"/>
          <w:spacing w:val="17"/>
        </w:rPr>
        <w:t xml:space="preserve"> </w:t>
      </w:r>
      <w:r>
        <w:rPr>
          <w:rFonts w:ascii="FangSong" w:hAnsi="FangSong" w:eastAsia="FangSong" w:cs="FangSong"/>
          <w:sz w:val="25"/>
          <w:szCs w:val="25"/>
          <w:spacing w:val="1"/>
        </w:rPr>
        <w:t>2、社会保障和就业支出年初预算283.16万元，支出决算260.38万元，完成年初预算</w:t>
      </w:r>
      <w:r>
        <w:rPr>
          <w:rFonts w:ascii="FangSong" w:hAnsi="FangSong" w:eastAsia="FangSong" w:cs="FangSong"/>
          <w:sz w:val="25"/>
          <w:szCs w:val="25"/>
          <w:spacing w:val="17"/>
        </w:rPr>
        <w:t xml:space="preserve"> </w:t>
      </w:r>
      <w:r>
        <w:rPr>
          <w:rFonts w:ascii="FangSong" w:hAnsi="FangSong" w:eastAsia="FangSong" w:cs="FangSong"/>
          <w:sz w:val="25"/>
          <w:szCs w:val="25"/>
          <w:spacing w:val="2"/>
        </w:rPr>
        <w:t>的91.96%，用于人员基本医疗、养老、</w:t>
      </w:r>
      <w:r>
        <w:rPr>
          <w:rFonts w:ascii="FangSong" w:hAnsi="FangSong" w:eastAsia="FangSong" w:cs="FangSong"/>
          <w:sz w:val="25"/>
          <w:szCs w:val="25"/>
          <w:spacing w:val="1"/>
        </w:rPr>
        <w:t>失业、工伤等社会保险缴费支出及职业年金</w:t>
      </w:r>
      <w:r>
        <w:rPr>
          <w:rFonts w:ascii="FangSong" w:hAnsi="FangSong" w:eastAsia="FangSong" w:cs="FangSong"/>
          <w:sz w:val="25"/>
          <w:szCs w:val="25"/>
        </w:rPr>
        <w:t xml:space="preserve">  </w:t>
      </w:r>
      <w:r>
        <w:rPr>
          <w:rFonts w:ascii="FangSong" w:hAnsi="FangSong" w:eastAsia="FangSong" w:cs="FangSong"/>
          <w:sz w:val="25"/>
          <w:szCs w:val="25"/>
          <w:spacing w:val="1"/>
        </w:rPr>
        <w:t>缴费支出等，比上年增加58.75万元，与上年相比增加29.1%，主要原因是人员工资</w:t>
      </w:r>
      <w:r>
        <w:rPr>
          <w:rFonts w:ascii="FangSong" w:hAnsi="FangSong" w:eastAsia="FangSong" w:cs="FangSong"/>
          <w:sz w:val="25"/>
          <w:szCs w:val="25"/>
          <w:spacing w:val="9"/>
        </w:rPr>
        <w:t xml:space="preserve">  </w:t>
      </w:r>
      <w:r>
        <w:rPr>
          <w:rFonts w:ascii="FangSong" w:hAnsi="FangSong" w:eastAsia="FangSong" w:cs="FangSong"/>
          <w:sz w:val="25"/>
          <w:szCs w:val="25"/>
          <w:spacing w:val="2"/>
        </w:rPr>
        <w:t>普调，社保缴费基数提高，各项社保缴费支出增加</w:t>
      </w:r>
      <w:r>
        <w:rPr>
          <w:rFonts w:ascii="FangSong" w:hAnsi="FangSong" w:eastAsia="FangSong" w:cs="FangSong"/>
          <w:sz w:val="25"/>
          <w:szCs w:val="25"/>
          <w:spacing w:val="1"/>
        </w:rPr>
        <w:t>，本年度职业年金缴费支出增</w:t>
      </w:r>
    </w:p>
    <w:p>
      <w:pPr>
        <w:ind w:left="698" w:right="862" w:firstLine="8"/>
        <w:spacing w:before="41" w:line="314" w:lineRule="auto"/>
        <w:rPr>
          <w:rFonts w:ascii="FangSong" w:hAnsi="FangSong" w:eastAsia="FangSong" w:cs="FangSong"/>
          <w:sz w:val="25"/>
          <w:szCs w:val="25"/>
        </w:rPr>
      </w:pPr>
      <w:r>
        <w:rPr>
          <w:rFonts w:ascii="FangSong" w:hAnsi="FangSong" w:eastAsia="FangSong" w:cs="FangSong"/>
          <w:sz w:val="25"/>
          <w:szCs w:val="25"/>
          <w:spacing w:val="1"/>
        </w:rPr>
        <w:t>加。3、住房保障支出年初预算79.21万元，支出决算78.88万元，完成年初预算的</w:t>
      </w:r>
      <w:r>
        <w:rPr>
          <w:rFonts w:ascii="FangSong" w:hAnsi="FangSong" w:eastAsia="FangSong" w:cs="FangSong"/>
          <w:sz w:val="25"/>
          <w:szCs w:val="25"/>
          <w:spacing w:val="6"/>
        </w:rPr>
        <w:t xml:space="preserve">  </w:t>
      </w:r>
      <w:r>
        <w:rPr>
          <w:rFonts w:ascii="FangSong" w:hAnsi="FangSong" w:eastAsia="FangSong" w:cs="FangSong"/>
          <w:sz w:val="25"/>
          <w:szCs w:val="25"/>
        </w:rPr>
        <w:t>99.58%，用于人员公积金缴费支出，比上年增加</w:t>
      </w:r>
      <w:r>
        <w:rPr>
          <w:rFonts w:ascii="FangSong" w:hAnsi="FangSong" w:eastAsia="FangSong" w:cs="FangSong"/>
          <w:sz w:val="25"/>
          <w:szCs w:val="25"/>
        </w:rPr>
        <w:t xml:space="preserve"> </w:t>
      </w:r>
      <w:r>
        <w:rPr>
          <w:rFonts w:ascii="FangSong" w:hAnsi="FangSong" w:eastAsia="FangSong" w:cs="FangSong"/>
          <w:sz w:val="25"/>
          <w:szCs w:val="25"/>
        </w:rPr>
        <w:t>2.95万元，与上年相比增加3.9%，</w:t>
      </w:r>
      <w:r>
        <w:rPr>
          <w:rFonts w:ascii="FangSong" w:hAnsi="FangSong" w:eastAsia="FangSong" w:cs="FangSong"/>
          <w:sz w:val="25"/>
          <w:szCs w:val="25"/>
          <w:spacing w:val="13"/>
        </w:rPr>
        <w:t xml:space="preserve"> </w:t>
      </w:r>
      <w:r>
        <w:rPr>
          <w:rFonts w:ascii="FangSong" w:hAnsi="FangSong" w:eastAsia="FangSong" w:cs="FangSong"/>
          <w:sz w:val="25"/>
          <w:szCs w:val="25"/>
          <w:spacing w:val="3"/>
        </w:rPr>
        <w:t>主要原因是人员工资标准提高，住房公积金基数提高，导致住</w:t>
      </w:r>
      <w:r>
        <w:rPr>
          <w:rFonts w:ascii="FangSong" w:hAnsi="FangSong" w:eastAsia="FangSong" w:cs="FangSong"/>
          <w:sz w:val="25"/>
          <w:szCs w:val="25"/>
          <w:spacing w:val="2"/>
        </w:rPr>
        <w:t>房公积金支出增加。</w:t>
      </w:r>
      <w:r>
        <w:rPr>
          <w:rFonts w:ascii="FangSong" w:hAnsi="FangSong" w:eastAsia="FangSong" w:cs="FangSong"/>
          <w:sz w:val="25"/>
          <w:szCs w:val="25"/>
        </w:rPr>
        <w:t xml:space="preserve"> </w:t>
      </w:r>
      <w:r>
        <w:rPr>
          <w:rFonts w:ascii="FangSong" w:hAnsi="FangSong" w:eastAsia="FangSong" w:cs="FangSong"/>
          <w:sz w:val="25"/>
          <w:szCs w:val="25"/>
          <w:spacing w:val="2"/>
        </w:rPr>
        <w:t>4、灾害防治及应急管理支出年初预算0万元，支出决</w:t>
      </w:r>
      <w:r>
        <w:rPr>
          <w:rFonts w:ascii="FangSong" w:hAnsi="FangSong" w:eastAsia="FangSong" w:cs="FangSong"/>
          <w:sz w:val="25"/>
          <w:szCs w:val="25"/>
          <w:spacing w:val="1"/>
        </w:rPr>
        <w:t>算2.27万元，完成年初预算的</w:t>
      </w:r>
      <w:r>
        <w:rPr>
          <w:rFonts w:ascii="FangSong" w:hAnsi="FangSong" w:eastAsia="FangSong" w:cs="FangSong"/>
          <w:sz w:val="25"/>
          <w:szCs w:val="25"/>
        </w:rPr>
        <w:t xml:space="preserve"> </w:t>
      </w:r>
      <w:r>
        <w:rPr>
          <w:rFonts w:ascii="FangSong" w:hAnsi="FangSong" w:eastAsia="FangSong" w:cs="FangSong"/>
          <w:sz w:val="25"/>
          <w:szCs w:val="25"/>
          <w:spacing w:val="2"/>
        </w:rPr>
        <w:t>∞%，用于古阳小学灾后重建项目质保金，与上年相比</w:t>
      </w:r>
      <w:r>
        <w:rPr>
          <w:rFonts w:ascii="FangSong" w:hAnsi="FangSong" w:eastAsia="FangSong" w:cs="FangSong"/>
          <w:sz w:val="25"/>
          <w:szCs w:val="25"/>
          <w:spacing w:val="1"/>
        </w:rPr>
        <w:t>减少86.2%，主要原因是上年</w:t>
      </w:r>
      <w:r>
        <w:rPr>
          <w:rFonts w:ascii="FangSong" w:hAnsi="FangSong" w:eastAsia="FangSong" w:cs="FangSong"/>
          <w:sz w:val="25"/>
          <w:szCs w:val="25"/>
        </w:rPr>
        <w:t xml:space="preserve"> </w:t>
      </w:r>
      <w:r>
        <w:rPr>
          <w:rFonts w:ascii="FangSong" w:hAnsi="FangSong" w:eastAsia="FangSong" w:cs="FangSong"/>
          <w:sz w:val="25"/>
          <w:szCs w:val="25"/>
          <w:spacing w:val="2"/>
        </w:rPr>
        <w:t>拨付古阳小学学生厨房餐厅灾后维修改造项目，</w:t>
      </w:r>
      <w:r>
        <w:rPr>
          <w:rFonts w:ascii="FangSong" w:hAnsi="FangSong" w:eastAsia="FangSong" w:cs="FangSong"/>
          <w:sz w:val="25"/>
          <w:szCs w:val="25"/>
          <w:spacing w:val="1"/>
        </w:rPr>
        <w:t>本年拨付此项目质保金。</w:t>
      </w:r>
    </w:p>
    <w:p>
      <w:pPr>
        <w:ind w:left="1205"/>
        <w:spacing w:before="44"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2023年度财政拨款基本支出1,020.21万元，其中：</w:t>
      </w:r>
    </w:p>
    <w:p>
      <w:pPr>
        <w:ind w:left="707" w:right="937" w:firstLine="507"/>
        <w:spacing w:before="130" w:line="303" w:lineRule="auto"/>
        <w:rPr>
          <w:rFonts w:ascii="FangSong" w:hAnsi="FangSong" w:eastAsia="FangSong" w:cs="FangSong"/>
          <w:sz w:val="25"/>
          <w:szCs w:val="25"/>
        </w:rPr>
      </w:pPr>
      <w:r>
        <w:rPr>
          <w:rFonts w:ascii="FangSong" w:hAnsi="FangSong" w:eastAsia="FangSong" w:cs="FangSong"/>
          <w:sz w:val="25"/>
          <w:szCs w:val="25"/>
          <w:spacing w:val="1"/>
        </w:rPr>
        <w:t>人员经费987.58万元，主要包括基本工资、绩效工资、津帖补贴、机关事业单</w:t>
      </w:r>
      <w:r>
        <w:rPr>
          <w:rFonts w:ascii="FangSong" w:hAnsi="FangSong" w:eastAsia="FangSong" w:cs="FangSong"/>
          <w:sz w:val="25"/>
          <w:szCs w:val="25"/>
          <w:spacing w:val="9"/>
        </w:rPr>
        <w:t xml:space="preserve"> </w:t>
      </w:r>
      <w:r>
        <w:rPr>
          <w:rFonts w:ascii="FangSong" w:hAnsi="FangSong" w:eastAsia="FangSong" w:cs="FangSong"/>
          <w:sz w:val="25"/>
          <w:szCs w:val="25"/>
          <w:spacing w:val="1"/>
        </w:rPr>
        <w:t>位基本养老保险缴费、职业年金缴费、职工基本医疗保险缴费、其他社会保障缴</w:t>
      </w:r>
    </w:p>
    <w:p>
      <w:pPr>
        <w:ind w:left="714"/>
        <w:spacing w:before="43" w:line="222" w:lineRule="auto"/>
        <w:rPr>
          <w:rFonts w:ascii="FangSong" w:hAnsi="FangSong" w:eastAsia="FangSong" w:cs="FangSong"/>
          <w:sz w:val="25"/>
          <w:szCs w:val="25"/>
        </w:rPr>
      </w:pPr>
      <w:r>
        <w:rPr>
          <w:rFonts w:ascii="FangSong" w:hAnsi="FangSong" w:eastAsia="FangSong" w:cs="FangSong"/>
          <w:sz w:val="25"/>
          <w:szCs w:val="25"/>
          <w:spacing w:val="-1"/>
        </w:rPr>
        <w:t>费、住房公积金、退休费等；</w:t>
      </w:r>
    </w:p>
    <w:p>
      <w:pPr>
        <w:ind w:left="1216"/>
        <w:spacing w:before="131" w:line="224" w:lineRule="auto"/>
        <w:rPr>
          <w:rFonts w:ascii="FangSong" w:hAnsi="FangSong" w:eastAsia="FangSong" w:cs="FangSong"/>
          <w:sz w:val="25"/>
          <w:szCs w:val="25"/>
        </w:rPr>
      </w:pPr>
      <w:r>
        <w:rPr>
          <w:rFonts w:ascii="FangSong" w:hAnsi="FangSong" w:eastAsia="FangSong" w:cs="FangSong"/>
          <w:sz w:val="25"/>
          <w:szCs w:val="25"/>
          <w:spacing w:val="1"/>
        </w:rPr>
        <w:t>公用经费32.63万元，主要包括工会经费和福利费。</w:t>
      </w:r>
    </w:p>
    <w:p>
      <w:pPr>
        <w:ind w:left="1197"/>
        <w:spacing w:before="130"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06" w:right="937" w:firstLine="499"/>
        <w:spacing w:before="130" w:line="309"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w:t>
      </w:r>
      <w:r>
        <w:rPr>
          <w:rFonts w:ascii="FangSong" w:hAnsi="FangSong" w:eastAsia="FangSong" w:cs="FangSong"/>
          <w:sz w:val="25"/>
          <w:szCs w:val="25"/>
        </w:rPr>
        <w:t>年预算0.12万元，支出决算0.12万元，</w:t>
      </w:r>
      <w:r>
        <w:rPr>
          <w:rFonts w:ascii="FangSong" w:hAnsi="FangSong" w:eastAsia="FangSong" w:cs="FangSong"/>
          <w:sz w:val="25"/>
          <w:szCs w:val="25"/>
        </w:rPr>
        <w:t xml:space="preserve"> </w:t>
      </w:r>
      <w:r>
        <w:rPr>
          <w:rFonts w:ascii="FangSong" w:hAnsi="FangSong" w:eastAsia="FangSong" w:cs="FangSong"/>
          <w:sz w:val="25"/>
          <w:szCs w:val="25"/>
        </w:rPr>
        <w:t>完成全年预算的100.00%，</w:t>
      </w:r>
      <w:r>
        <w:rPr>
          <w:rFonts w:ascii="FangSong" w:hAnsi="FangSong" w:eastAsia="FangSong" w:cs="FangSong"/>
          <w:sz w:val="25"/>
          <w:szCs w:val="25"/>
          <w:spacing w:val="-66"/>
        </w:rPr>
        <w:t xml:space="preserve"> </w:t>
      </w:r>
      <w:r>
        <w:rPr>
          <w:rFonts w:ascii="FangSong" w:hAnsi="FangSong" w:eastAsia="FangSong" w:cs="FangSong"/>
          <w:sz w:val="25"/>
          <w:szCs w:val="25"/>
        </w:rPr>
        <w:t>比上年度减少0.15万元，下降55.56%，主要原因是：学</w:t>
      </w:r>
      <w:r>
        <w:rPr>
          <w:rFonts w:ascii="FangSong" w:hAnsi="FangSong" w:eastAsia="FangSong" w:cs="FangSong"/>
          <w:sz w:val="25"/>
          <w:szCs w:val="25"/>
        </w:rPr>
        <w:t xml:space="preserve">  </w:t>
      </w:r>
      <w:r>
        <w:rPr>
          <w:rFonts w:ascii="FangSong" w:hAnsi="FangSong" w:eastAsia="FangSong" w:cs="FangSong"/>
          <w:sz w:val="25"/>
          <w:szCs w:val="25"/>
          <w:spacing w:val="1"/>
        </w:rPr>
        <w:t>校“三公</w:t>
      </w:r>
      <w:r>
        <w:rPr>
          <w:rFonts w:ascii="FangSong" w:hAnsi="FangSong" w:eastAsia="FangSong" w:cs="FangSong"/>
          <w:sz w:val="25"/>
          <w:szCs w:val="25"/>
          <w:spacing w:val="-90"/>
        </w:rPr>
        <w:t xml:space="preserve"> </w:t>
      </w:r>
      <w:r>
        <w:rPr>
          <w:rFonts w:ascii="FangSong" w:hAnsi="FangSong" w:eastAsia="FangSong" w:cs="FangSong"/>
          <w:sz w:val="25"/>
          <w:szCs w:val="25"/>
          <w:spacing w:val="1"/>
        </w:rPr>
        <w:t>”经费主要是用于学校期中、期末</w:t>
      </w:r>
      <w:r>
        <w:rPr>
          <w:rFonts w:ascii="FangSong" w:hAnsi="FangSong" w:eastAsia="FangSong" w:cs="FangSong"/>
          <w:sz w:val="25"/>
          <w:szCs w:val="25"/>
        </w:rPr>
        <w:t>的学生学业水平测试中监考、评卷教师</w:t>
      </w:r>
    </w:p>
    <w:p>
      <w:pPr>
        <w:spacing w:line="309"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spacing w:line="278" w:lineRule="auto"/>
        <w:rPr>
          <w:rFonts w:ascii="Arial"/>
          <w:sz w:val="21"/>
        </w:rPr>
      </w:pPr>
      <w:r/>
    </w:p>
    <w:p>
      <w:pPr>
        <w:ind w:left="712" w:right="937" w:hanging="3"/>
        <w:spacing w:before="81" w:line="30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及工作人员的正常工作餐，因学校撤并和生源减少及班级减少，所以相应参与此项</w:t>
      </w:r>
      <w:r>
        <w:rPr>
          <w:rFonts w:ascii="FangSong" w:hAnsi="FangSong" w:eastAsia="FangSong" w:cs="FangSong"/>
          <w:sz w:val="25"/>
          <w:szCs w:val="25"/>
          <w:spacing w:val="15"/>
        </w:rPr>
        <w:t xml:space="preserve"> </w:t>
      </w:r>
      <w:r>
        <w:rPr>
          <w:rFonts w:ascii="FangSong" w:hAnsi="FangSong" w:eastAsia="FangSong" w:cs="FangSong"/>
          <w:sz w:val="25"/>
          <w:szCs w:val="25"/>
        </w:rPr>
        <w:t>工作的教师人数减少，“三公</w:t>
      </w:r>
      <w:r>
        <w:rPr>
          <w:rFonts w:ascii="FangSong" w:hAnsi="FangSong" w:eastAsia="FangSong" w:cs="FangSong"/>
          <w:sz w:val="25"/>
          <w:szCs w:val="25"/>
          <w:spacing w:val="-89"/>
        </w:rPr>
        <w:t xml:space="preserve"> </w:t>
      </w:r>
      <w:r>
        <w:rPr>
          <w:rFonts w:ascii="FangSong" w:hAnsi="FangSong" w:eastAsia="FangSong" w:cs="FangSong"/>
          <w:sz w:val="25"/>
          <w:szCs w:val="25"/>
        </w:rPr>
        <w:t>”经费相应逐年下降</w:t>
      </w:r>
      <w:r>
        <w:rPr>
          <w:rFonts w:ascii="FangSong" w:hAnsi="FangSong" w:eastAsia="FangSong" w:cs="FangSong"/>
          <w:sz w:val="25"/>
          <w:szCs w:val="25"/>
          <w:spacing w:val="-1"/>
        </w:rPr>
        <w:t>减少。其中：</w:t>
      </w:r>
    </w:p>
    <w:p>
      <w:pPr>
        <w:ind w:left="707" w:right="1309" w:firstLine="528"/>
        <w:spacing w:before="44"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ind w:left="711" w:right="805"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spacing w:val="-1"/>
        </w:rPr>
        <w:t>单位无公务用车购置支出；</w:t>
      </w:r>
    </w:p>
    <w:p>
      <w:pPr>
        <w:ind w:left="707" w:right="1057"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1216"/>
        <w:spacing w:before="45" w:line="223" w:lineRule="auto"/>
        <w:rPr>
          <w:rFonts w:ascii="FangSong" w:hAnsi="FangSong" w:eastAsia="FangSong" w:cs="FangSong"/>
          <w:sz w:val="25"/>
          <w:szCs w:val="25"/>
        </w:rPr>
      </w:pPr>
      <w:r>
        <w:rPr>
          <w:rFonts w:ascii="FangSong" w:hAnsi="FangSong" w:eastAsia="FangSong" w:cs="FangSong"/>
          <w:sz w:val="25"/>
          <w:szCs w:val="25"/>
        </w:rPr>
        <w:t>公务接待费支出0.12万元，完成全年预算的100.00%，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比上年度减少</w:t>
      </w:r>
      <w:r>
        <w:rPr>
          <w:rFonts w:ascii="FangSong" w:hAnsi="FangSong" w:eastAsia="FangSong" w:cs="FangSong"/>
          <w:sz w:val="25"/>
          <w:szCs w:val="25"/>
          <w:spacing w:val="-1"/>
        </w:rPr>
        <w:t>0.15万</w:t>
      </w:r>
    </w:p>
    <w:p>
      <w:pPr>
        <w:ind w:left="706" w:right="937" w:firstLine="4"/>
        <w:spacing w:before="129" w:line="312" w:lineRule="auto"/>
        <w:rPr>
          <w:rFonts w:ascii="FangSong" w:hAnsi="FangSong" w:eastAsia="FangSong" w:cs="FangSong"/>
          <w:sz w:val="25"/>
          <w:szCs w:val="25"/>
        </w:rPr>
      </w:pPr>
      <w:r>
        <w:rPr>
          <w:rFonts w:ascii="FangSong" w:hAnsi="FangSong" w:eastAsia="FangSong" w:cs="FangSong"/>
          <w:sz w:val="25"/>
          <w:szCs w:val="25"/>
        </w:rPr>
        <w:t>元，下降55.56%，主要原因是：学校“三公</w:t>
      </w:r>
      <w:r>
        <w:rPr>
          <w:rFonts w:ascii="FangSong" w:hAnsi="FangSong" w:eastAsia="FangSong" w:cs="FangSong"/>
          <w:sz w:val="25"/>
          <w:szCs w:val="25"/>
          <w:spacing w:val="-75"/>
        </w:rPr>
        <w:t xml:space="preserve"> </w:t>
      </w:r>
      <w:r>
        <w:rPr>
          <w:rFonts w:ascii="FangSong" w:hAnsi="FangSong" w:eastAsia="FangSong" w:cs="FangSong"/>
          <w:sz w:val="25"/>
          <w:szCs w:val="25"/>
        </w:rPr>
        <w:t>”经费主要是用于学校期中、期末的学</w:t>
      </w:r>
      <w:r>
        <w:rPr>
          <w:rFonts w:ascii="FangSong" w:hAnsi="FangSong" w:eastAsia="FangSong" w:cs="FangSong"/>
          <w:sz w:val="25"/>
          <w:szCs w:val="25"/>
        </w:rPr>
        <w:t xml:space="preserve"> </w:t>
      </w:r>
      <w:r>
        <w:rPr>
          <w:rFonts w:ascii="FangSong" w:hAnsi="FangSong" w:eastAsia="FangSong" w:cs="FangSong"/>
          <w:sz w:val="25"/>
          <w:szCs w:val="25"/>
          <w:spacing w:val="1"/>
        </w:rPr>
        <w:t>生学业水平测试中监考、评卷教师及工作人员的正常工作餐，因学校撤并和生源减</w:t>
      </w:r>
      <w:r>
        <w:rPr>
          <w:rFonts w:ascii="FangSong" w:hAnsi="FangSong" w:eastAsia="FangSong" w:cs="FangSong"/>
          <w:sz w:val="25"/>
          <w:szCs w:val="25"/>
          <w:spacing w:val="18"/>
        </w:rPr>
        <w:t xml:space="preserve"> </w:t>
      </w:r>
      <w:r>
        <w:rPr>
          <w:rFonts w:ascii="FangSong" w:hAnsi="FangSong" w:eastAsia="FangSong" w:cs="FangSong"/>
          <w:sz w:val="25"/>
          <w:szCs w:val="25"/>
          <w:spacing w:val="1"/>
        </w:rPr>
        <w:t>少及班级减少，所以相应参与此项工作的教</w:t>
      </w:r>
      <w:r>
        <w:rPr>
          <w:rFonts w:ascii="FangSong" w:hAnsi="FangSong" w:eastAsia="FangSong" w:cs="FangSong"/>
          <w:sz w:val="25"/>
          <w:szCs w:val="25"/>
        </w:rPr>
        <w:t>师人数减少，“三公</w:t>
      </w:r>
      <w:r>
        <w:rPr>
          <w:rFonts w:ascii="FangSong" w:hAnsi="FangSong" w:eastAsia="FangSong" w:cs="FangSong"/>
          <w:sz w:val="25"/>
          <w:szCs w:val="25"/>
          <w:spacing w:val="-90"/>
        </w:rPr>
        <w:t xml:space="preserve"> </w:t>
      </w:r>
      <w:r>
        <w:rPr>
          <w:rFonts w:ascii="FangSong" w:hAnsi="FangSong" w:eastAsia="FangSong" w:cs="FangSong"/>
          <w:sz w:val="25"/>
          <w:szCs w:val="25"/>
        </w:rPr>
        <w:t>”经费相应逐年下</w:t>
      </w:r>
      <w:r>
        <w:rPr>
          <w:rFonts w:ascii="FangSong" w:hAnsi="FangSong" w:eastAsia="FangSong" w:cs="FangSong"/>
          <w:sz w:val="25"/>
          <w:szCs w:val="25"/>
        </w:rPr>
        <w:t xml:space="preserve"> </w:t>
      </w:r>
      <w:r>
        <w:rPr>
          <w:rFonts w:ascii="FangSong" w:hAnsi="FangSong" w:eastAsia="FangSong" w:cs="FangSong"/>
          <w:sz w:val="25"/>
          <w:szCs w:val="25"/>
          <w:spacing w:val="-4"/>
        </w:rPr>
        <w:t>降减少。</w:t>
      </w:r>
    </w:p>
    <w:p>
      <w:pPr>
        <w:ind w:left="1221"/>
        <w:spacing w:before="40"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707" w:right="844" w:firstLine="494"/>
        <w:spacing w:before="131" w:line="287" w:lineRule="auto"/>
        <w:rPr>
          <w:rFonts w:ascii="FangSong" w:hAnsi="FangSong" w:eastAsia="FangSong" w:cs="FangSong"/>
          <w:sz w:val="25"/>
          <w:szCs w:val="25"/>
        </w:rPr>
      </w:pPr>
      <w:r>
        <w:rPr>
          <w:rFonts w:ascii="FangSong" w:hAnsi="FangSong" w:eastAsia="FangSong" w:cs="FangSong"/>
          <w:sz w:val="25"/>
          <w:szCs w:val="25"/>
          <w:spacing w:val="1"/>
        </w:rPr>
        <w:t>4、公务接待费支出0.12万元，共接待2批次，112人</w:t>
      </w:r>
      <w:r>
        <w:rPr>
          <w:rFonts w:ascii="FangSong" w:hAnsi="FangSong" w:eastAsia="FangSong" w:cs="FangSong"/>
          <w:sz w:val="25"/>
          <w:szCs w:val="25"/>
        </w:rPr>
        <w:t>次。国内接待费0.12万元，</w:t>
      </w:r>
      <w:r>
        <w:rPr>
          <w:rFonts w:ascii="FangSong" w:hAnsi="FangSong" w:eastAsia="FangSong" w:cs="FangSong"/>
          <w:sz w:val="25"/>
          <w:szCs w:val="25"/>
        </w:rPr>
        <w:t xml:space="preserve"> </w:t>
      </w:r>
      <w:r>
        <w:rPr>
          <w:rFonts w:ascii="FangSong" w:hAnsi="FangSong" w:eastAsia="FangSong" w:cs="FangSong"/>
          <w:sz w:val="25"/>
          <w:szCs w:val="25"/>
          <w:spacing w:val="2"/>
        </w:rPr>
        <w:t>共接待2批次，112人次，其中外事接待费0万元，共接待0批次，0人次，主要是接</w:t>
      </w:r>
      <w:r>
        <w:rPr>
          <w:rFonts w:ascii="FangSong" w:hAnsi="FangSong" w:eastAsia="FangSong" w:cs="FangSong"/>
          <w:sz w:val="25"/>
          <w:szCs w:val="25"/>
          <w:spacing w:val="2"/>
        </w:rPr>
        <w:t xml:space="preserve">  </w:t>
      </w:r>
      <w:r>
        <w:rPr>
          <w:rFonts w:ascii="FangSong" w:hAnsi="FangSong" w:eastAsia="FangSong" w:cs="FangSong"/>
          <w:sz w:val="25"/>
          <w:szCs w:val="25"/>
          <w:spacing w:val="1"/>
        </w:rPr>
        <w:t>待学校期中、期末的学生学业水平测试中监考、评卷教师及工作人员的正常工作</w:t>
      </w:r>
    </w:p>
    <w:p>
      <w:pPr>
        <w:ind w:left="707" w:right="793" w:firstLine="2"/>
        <w:spacing w:before="131" w:line="304" w:lineRule="auto"/>
        <w:rPr>
          <w:rFonts w:ascii="FangSong" w:hAnsi="FangSong" w:eastAsia="FangSong" w:cs="FangSong"/>
          <w:sz w:val="25"/>
          <w:szCs w:val="25"/>
        </w:rPr>
      </w:pPr>
      <w:r>
        <w:rPr>
          <w:rFonts w:ascii="FangSong" w:hAnsi="FangSong" w:eastAsia="FangSong" w:cs="FangSong"/>
          <w:sz w:val="25"/>
          <w:szCs w:val="25"/>
          <w:spacing w:val="2"/>
        </w:rPr>
        <w:t>餐；国（境）外接待费0万元，共接待国（境）外0批次，0人次，主</w:t>
      </w:r>
      <w:r>
        <w:rPr>
          <w:rFonts w:ascii="FangSong" w:hAnsi="FangSong" w:eastAsia="FangSong" w:cs="FangSong"/>
          <w:sz w:val="25"/>
          <w:szCs w:val="25"/>
          <w:spacing w:val="1"/>
        </w:rPr>
        <w:t>要是我单位无国</w:t>
      </w:r>
      <w:r>
        <w:rPr>
          <w:rFonts w:ascii="FangSong" w:hAnsi="FangSong" w:eastAsia="FangSong" w:cs="FangSong"/>
          <w:sz w:val="25"/>
          <w:szCs w:val="25"/>
        </w:rPr>
        <w:t xml:space="preserve"> </w:t>
      </w:r>
      <w:r>
        <w:rPr>
          <w:rFonts w:ascii="FangSong" w:hAnsi="FangSong" w:eastAsia="FangSong" w:cs="FangSong"/>
          <w:sz w:val="25"/>
          <w:szCs w:val="25"/>
          <w:spacing w:val="-1"/>
        </w:rPr>
        <w:t>（境）外接待费</w:t>
      </w:r>
    </w:p>
    <w:p>
      <w:pPr>
        <w:ind w:left="725"/>
        <w:spacing w:before="210" w:line="121" w:lineRule="exact"/>
        <w:rPr>
          <w:rFonts w:ascii="FangSong" w:hAnsi="FangSong" w:eastAsia="FangSong" w:cs="FangSong"/>
          <w:sz w:val="25"/>
          <w:szCs w:val="25"/>
        </w:rPr>
      </w:pPr>
      <w:r>
        <w:rPr>
          <w:rFonts w:ascii="FangSong" w:hAnsi="FangSong" w:eastAsia="FangSong" w:cs="FangSong"/>
          <w:sz w:val="25"/>
          <w:szCs w:val="25"/>
          <w:position w:val="2"/>
        </w:rPr>
        <w:t>。</w:t>
      </w:r>
    </w:p>
    <w:p>
      <w:pPr>
        <w:ind w:left="1201"/>
        <w:spacing w:before="1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1"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spacing w:line="312"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spacing w:line="362" w:lineRule="auto"/>
        <w:rPr>
          <w:rFonts w:ascii="Arial"/>
          <w:sz w:val="21"/>
        </w:rPr>
      </w:pPr>
      <w:r/>
    </w:p>
    <w:p>
      <w:pPr>
        <w:ind w:left="1221"/>
        <w:spacing w:before="81" w:line="222" w:lineRule="auto"/>
        <w:rPr>
          <w:rFonts w:ascii="SimHei" w:hAnsi="SimHei" w:eastAsia="SimHei" w:cs="SimHei"/>
          <w:sz w:val="25"/>
          <w:szCs w:val="25"/>
        </w:rPr>
      </w:pPr>
      <w:bookmarkStart w:name="bookmark42" w:id="67"/>
      <w:bookmarkEnd w:id="67"/>
      <w:r>
        <w:rPr>
          <w:rFonts w:ascii="SimHei" w:hAnsi="SimHei" w:eastAsia="SimHei" w:cs="SimHei"/>
          <w:sz w:val="25"/>
          <w:szCs w:val="25"/>
          <w:spacing w:val="-1"/>
        </w:rPr>
        <w:t>（三）国有资产占用情况说明</w:t>
      </w:r>
    </w:p>
    <w:p>
      <w:pPr>
        <w:ind w:left="706" w:right="805" w:firstLine="504"/>
        <w:spacing w:before="129" w:line="313"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他用车主要是我单位无其他用车情况；单价100万元（含）以上设备（不含车辆）0</w:t>
      </w:r>
      <w:r>
        <w:rPr>
          <w:rFonts w:ascii="FangSong" w:hAnsi="FangSong" w:eastAsia="FangSong" w:cs="FangSong"/>
          <w:sz w:val="25"/>
          <w:szCs w:val="25"/>
          <w:spacing w:val="9"/>
        </w:rPr>
        <w:t xml:space="preserve">  </w:t>
      </w:r>
      <w:r>
        <w:rPr>
          <w:rFonts w:ascii="FangSong" w:hAnsi="FangSong" w:eastAsia="FangSong" w:cs="FangSong"/>
          <w:sz w:val="25"/>
          <w:szCs w:val="25"/>
          <w:spacing w:val="-3"/>
        </w:rPr>
        <w:t>台（套）。</w:t>
      </w:r>
    </w:p>
    <w:p>
      <w:pPr>
        <w:ind w:left="1221"/>
        <w:spacing w:before="43"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07" w:right="811" w:firstLine="498"/>
        <w:spacing w:before="129" w:line="313" w:lineRule="auto"/>
        <w:rPr>
          <w:rFonts w:ascii="FangSong" w:hAnsi="FangSong" w:eastAsia="FangSong" w:cs="FangSong"/>
          <w:sz w:val="25"/>
          <w:szCs w:val="25"/>
        </w:rPr>
      </w:pPr>
      <w:r>
        <w:rPr>
          <w:rFonts w:ascii="FangSong" w:hAnsi="FangSong" w:eastAsia="FangSong" w:cs="FangSong"/>
          <w:sz w:val="25"/>
          <w:szCs w:val="25"/>
          <w:spacing w:val="1"/>
        </w:rPr>
        <w:t>2023年我单位二级项目绩效自评个数15个，涉及预算资金166.427万元：15个项</w:t>
      </w:r>
      <w:r>
        <w:rPr>
          <w:rFonts w:ascii="FangSong" w:hAnsi="FangSong" w:eastAsia="FangSong" w:cs="FangSong"/>
          <w:sz w:val="25"/>
          <w:szCs w:val="25"/>
          <w:spacing w:val="14"/>
        </w:rPr>
        <w:t xml:space="preserve"> </w:t>
      </w:r>
      <w:r>
        <w:rPr>
          <w:rFonts w:ascii="FangSong" w:hAnsi="FangSong" w:eastAsia="FangSong" w:cs="FangSong"/>
          <w:sz w:val="25"/>
          <w:szCs w:val="25"/>
          <w:spacing w:val="-6"/>
        </w:rPr>
        <w:t>目</w:t>
      </w:r>
      <w:r>
        <w:rPr>
          <w:rFonts w:ascii="FangSong" w:hAnsi="FangSong" w:eastAsia="FangSong" w:cs="FangSong"/>
          <w:sz w:val="25"/>
          <w:szCs w:val="25"/>
          <w:spacing w:val="-57"/>
        </w:rPr>
        <w:t xml:space="preserve"> </w:t>
      </w:r>
      <w:r>
        <w:rPr>
          <w:rFonts w:ascii="FangSong" w:hAnsi="FangSong" w:eastAsia="FangSong" w:cs="FangSong"/>
          <w:sz w:val="25"/>
          <w:szCs w:val="25"/>
          <w:spacing w:val="-6"/>
        </w:rPr>
        <w:t>自评等级为“优</w:t>
      </w:r>
      <w:r>
        <w:rPr>
          <w:rFonts w:ascii="FangSong" w:hAnsi="FangSong" w:eastAsia="FangSong" w:cs="FangSong"/>
          <w:sz w:val="25"/>
          <w:szCs w:val="25"/>
          <w:spacing w:val="-89"/>
        </w:rPr>
        <w:t xml:space="preserve"> </w:t>
      </w:r>
      <w:r>
        <w:rPr>
          <w:rFonts w:ascii="FangSong" w:hAnsi="FangSong" w:eastAsia="FangSong" w:cs="FangSong"/>
          <w:sz w:val="25"/>
          <w:szCs w:val="25"/>
          <w:spacing w:val="-6"/>
        </w:rPr>
        <w:t>”，0个项目自评等级为“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6"/>
        </w:rPr>
        <w:t>良</w:t>
      </w:r>
      <w:r>
        <w:rPr>
          <w:rFonts w:ascii="FangSong" w:hAnsi="FangSong" w:eastAsia="FangSong" w:cs="FangSong"/>
          <w:sz w:val="25"/>
          <w:szCs w:val="25"/>
          <w:spacing w:val="-89"/>
        </w:rPr>
        <w:t xml:space="preserve"> </w:t>
      </w:r>
      <w:r>
        <w:rPr>
          <w:rFonts w:ascii="FangSong" w:hAnsi="FangSong" w:eastAsia="FangSong" w:cs="FangSong"/>
          <w:sz w:val="25"/>
          <w:szCs w:val="25"/>
          <w:spacing w:val="-6"/>
        </w:rPr>
        <w:t>”，0个项目自评等级为“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6"/>
        </w:rPr>
        <w:t>中</w:t>
      </w:r>
      <w:r>
        <w:rPr>
          <w:rFonts w:ascii="FangSong" w:hAnsi="FangSong" w:eastAsia="FangSong" w:cs="FangSong"/>
          <w:sz w:val="25"/>
          <w:szCs w:val="25"/>
          <w:spacing w:val="-90"/>
        </w:rPr>
        <w:t xml:space="preserve"> </w:t>
      </w:r>
      <w:r>
        <w:rPr>
          <w:rFonts w:ascii="FangSong" w:hAnsi="FangSong" w:eastAsia="FangSong" w:cs="FangSong"/>
          <w:sz w:val="25"/>
          <w:szCs w:val="25"/>
          <w:spacing w:val="-6"/>
        </w:rPr>
        <w:t>”，0个</w:t>
      </w:r>
      <w:r>
        <w:rPr>
          <w:rFonts w:ascii="FangSong" w:hAnsi="FangSong" w:eastAsia="FangSong" w:cs="FangSong"/>
          <w:sz w:val="25"/>
          <w:szCs w:val="25"/>
        </w:rPr>
        <w:t xml:space="preserve"> </w:t>
      </w:r>
      <w:r>
        <w:rPr>
          <w:rFonts w:ascii="FangSong" w:hAnsi="FangSong" w:eastAsia="FangSong" w:cs="FangSong"/>
          <w:sz w:val="25"/>
          <w:szCs w:val="25"/>
        </w:rPr>
        <w:t>项目自评等级为“差</w:t>
      </w:r>
      <w:r>
        <w:rPr>
          <w:rFonts w:ascii="FangSong" w:hAnsi="FangSong" w:eastAsia="FangSong" w:cs="FangSong"/>
          <w:sz w:val="25"/>
          <w:szCs w:val="25"/>
          <w:spacing w:val="-72"/>
        </w:rPr>
        <w:t xml:space="preserve"> </w:t>
      </w:r>
      <w:r>
        <w:rPr>
          <w:rFonts w:ascii="FangSong" w:hAnsi="FangSong" w:eastAsia="FangSong" w:cs="FangSong"/>
          <w:sz w:val="25"/>
          <w:szCs w:val="25"/>
        </w:rPr>
        <w:t>”。从评价结果来看，我单位2023年组织完成全年教育教学工</w:t>
      </w:r>
      <w:r>
        <w:rPr>
          <w:rFonts w:ascii="FangSong" w:hAnsi="FangSong" w:eastAsia="FangSong" w:cs="FangSong"/>
          <w:sz w:val="25"/>
          <w:szCs w:val="25"/>
        </w:rPr>
        <w:t xml:space="preserve">  </w:t>
      </w:r>
      <w:r>
        <w:rPr>
          <w:rFonts w:ascii="FangSong" w:hAnsi="FangSong" w:eastAsia="FangSong" w:cs="FangSong"/>
          <w:sz w:val="25"/>
          <w:szCs w:val="25"/>
          <w:spacing w:val="1"/>
        </w:rPr>
        <w:t>作任务，各项资金使用准确到位，项目开展符合学校实际工作和有关要求，社会满</w:t>
      </w:r>
      <w:r>
        <w:rPr>
          <w:rFonts w:ascii="FangSong" w:hAnsi="FangSong" w:eastAsia="FangSong" w:cs="FangSong"/>
          <w:sz w:val="25"/>
          <w:szCs w:val="25"/>
          <w:spacing w:val="8"/>
        </w:rPr>
        <w:t xml:space="preserve">  </w:t>
      </w:r>
      <w:r>
        <w:rPr>
          <w:rFonts w:ascii="FangSong" w:hAnsi="FangSong" w:eastAsia="FangSong" w:cs="FangSong"/>
          <w:sz w:val="25"/>
          <w:szCs w:val="25"/>
          <w:spacing w:val="1"/>
        </w:rPr>
        <w:t>意度较高，对于辖区整体教育发展起到关键作用，极大提升了当地的教育教学水</w:t>
      </w:r>
    </w:p>
    <w:p>
      <w:pPr>
        <w:ind w:left="708" w:right="937" w:hanging="2"/>
        <w:spacing w:before="42" w:line="312" w:lineRule="auto"/>
        <w:rPr>
          <w:rFonts w:ascii="FangSong" w:hAnsi="FangSong" w:eastAsia="FangSong" w:cs="FangSong"/>
          <w:sz w:val="25"/>
          <w:szCs w:val="25"/>
        </w:rPr>
      </w:pPr>
      <w:r>
        <w:rPr>
          <w:rFonts w:ascii="FangSong" w:hAnsi="FangSong" w:eastAsia="FangSong" w:cs="FangSong"/>
          <w:sz w:val="25"/>
          <w:szCs w:val="25"/>
          <w:spacing w:val="1"/>
        </w:rPr>
        <w:t>平，促进了农村地区教育质量更快发展。发现的主要问题及原因：一是绩效意识不</w:t>
      </w:r>
      <w:r>
        <w:rPr>
          <w:rFonts w:ascii="FangSong" w:hAnsi="FangSong" w:eastAsia="FangSong" w:cs="FangSong"/>
          <w:sz w:val="25"/>
          <w:szCs w:val="25"/>
          <w:spacing w:val="18"/>
        </w:rPr>
        <w:t xml:space="preserve"> </w:t>
      </w:r>
      <w:r>
        <w:rPr>
          <w:rFonts w:ascii="FangSong" w:hAnsi="FangSong" w:eastAsia="FangSong" w:cs="FangSong"/>
          <w:sz w:val="25"/>
          <w:szCs w:val="25"/>
          <w:spacing w:val="1"/>
        </w:rPr>
        <w:t>强，认识和重视程度还不够，缺乏系统认识；二是绩效目标设定还不够规范详细，</w:t>
      </w:r>
      <w:r>
        <w:rPr>
          <w:rFonts w:ascii="FangSong" w:hAnsi="FangSong" w:eastAsia="FangSong" w:cs="FangSong"/>
          <w:sz w:val="25"/>
          <w:szCs w:val="25"/>
          <w:spacing w:val="16"/>
        </w:rPr>
        <w:t xml:space="preserve"> </w:t>
      </w:r>
      <w:r>
        <w:rPr>
          <w:rFonts w:ascii="FangSong" w:hAnsi="FangSong" w:eastAsia="FangSong" w:cs="FangSong"/>
          <w:sz w:val="25"/>
          <w:szCs w:val="25"/>
          <w:spacing w:val="1"/>
        </w:rPr>
        <w:t>对重点工作任务的目标设定不够具体。下一步改进措施：一是加强制度文件及软件</w:t>
      </w:r>
      <w:r>
        <w:rPr>
          <w:rFonts w:ascii="FangSong" w:hAnsi="FangSong" w:eastAsia="FangSong" w:cs="FangSong"/>
          <w:sz w:val="25"/>
          <w:szCs w:val="25"/>
          <w:spacing w:val="16"/>
        </w:rPr>
        <w:t xml:space="preserve"> </w:t>
      </w:r>
      <w:r>
        <w:rPr>
          <w:rFonts w:ascii="FangSong" w:hAnsi="FangSong" w:eastAsia="FangSong" w:cs="FangSong"/>
          <w:sz w:val="25"/>
          <w:szCs w:val="25"/>
          <w:spacing w:val="1"/>
        </w:rPr>
        <w:t>学习培训；二是强化结果应用，对发现的问题及时有效整改。</w:t>
      </w:r>
    </w:p>
    <w:p>
      <w:pPr>
        <w:ind w:left="1206"/>
        <w:spacing w:before="41" w:line="223" w:lineRule="auto"/>
        <w:rPr>
          <w:rFonts w:ascii="FangSong" w:hAnsi="FangSong" w:eastAsia="FangSong" w:cs="FangSong"/>
          <w:sz w:val="25"/>
          <w:szCs w:val="25"/>
        </w:rPr>
      </w:pPr>
      <w:r>
        <w:rPr>
          <w:rFonts w:ascii="FangSong" w:hAnsi="FangSong" w:eastAsia="FangSong" w:cs="FangSong"/>
          <w:sz w:val="25"/>
          <w:szCs w:val="25"/>
        </w:rPr>
        <w:t>2、其他需要说明的事项</w:t>
      </w:r>
    </w:p>
    <w:p>
      <w:pPr>
        <w:ind w:left="1100"/>
        <w:spacing w:before="130" w:line="222" w:lineRule="auto"/>
        <w:rPr>
          <w:rFonts w:ascii="FangSong" w:hAnsi="FangSong" w:eastAsia="FangSong" w:cs="FangSong"/>
          <w:sz w:val="25"/>
          <w:szCs w:val="25"/>
        </w:rPr>
      </w:pPr>
      <w:r>
        <w:rPr>
          <w:rFonts w:ascii="FangSong" w:hAnsi="FangSong" w:eastAsia="FangSong" w:cs="FangSong"/>
          <w:sz w:val="25"/>
          <w:szCs w:val="25"/>
          <w:spacing w:val="-1"/>
        </w:rPr>
        <w:t>我单位无其他需要说明的事项。</w:t>
      </w:r>
    </w:p>
    <w:p>
      <w:pPr>
        <w:spacing w:line="222"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spacing w:line="263" w:lineRule="auto"/>
        <w:rPr>
          <w:rFonts w:ascii="Arial"/>
          <w:sz w:val="21"/>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rPr>
        <w:t>十三、教育支出：反映政府教育事务支出。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十四、社会保障和就业支出：反映政府在社会保障与就业方面的支出。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spacing w:val="1"/>
        </w:rPr>
        <w:t>十五、住房保障支出：集中反映政府用于住房方面的支出。</w:t>
      </w:r>
    </w:p>
    <w:p>
      <w:pPr>
        <w:ind w:left="713"/>
        <w:spacing w:before="131" w:line="224" w:lineRule="auto"/>
        <w:rPr>
          <w:rFonts w:ascii="FangSong" w:hAnsi="FangSong" w:eastAsia="FangSong" w:cs="FangSong"/>
          <w:sz w:val="25"/>
          <w:szCs w:val="25"/>
        </w:rPr>
      </w:pPr>
      <w:r>
        <w:rPr>
          <w:rFonts w:ascii="FangSong" w:hAnsi="FangSong" w:eastAsia="FangSong" w:cs="FangSong"/>
          <w:sz w:val="25"/>
          <w:szCs w:val="25"/>
          <w:spacing w:val="1"/>
        </w:rPr>
        <w:t>十六、灾害预防及应急管理支出：反映政府用于自然灾害防治、安全生产监管及应</w:t>
      </w:r>
    </w:p>
    <w:p>
      <w:pPr>
        <w:spacing w:line="224"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spacing w:line="314" w:lineRule="auto"/>
        <w:rPr>
          <w:rFonts w:ascii="Arial"/>
          <w:sz w:val="21"/>
        </w:rPr>
      </w:pPr>
      <w:r/>
    </w:p>
    <w:p>
      <w:pPr>
        <w:ind w:left="720"/>
        <w:spacing w:before="82" w:line="225" w:lineRule="auto"/>
        <w:rPr>
          <w:rFonts w:ascii="FangSong" w:hAnsi="FangSong" w:eastAsia="FangSong" w:cs="FangSong"/>
          <w:sz w:val="25"/>
          <w:szCs w:val="25"/>
        </w:rPr>
      </w:pPr>
      <w:r>
        <w:rPr>
          <w:rFonts w:ascii="FangSong" w:hAnsi="FangSong" w:eastAsia="FangSong" w:cs="FangSong"/>
          <w:sz w:val="25"/>
          <w:szCs w:val="25"/>
          <w:spacing w:val="-2"/>
        </w:rPr>
        <w:t>急管理等方面的支出。</w:t>
      </w:r>
    </w:p>
    <w:p>
      <w:pPr>
        <w:ind w:left="4529"/>
        <w:spacing w:before="163"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1"/>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600" w:bottom="312" w:left="600" w:header="357" w:footer="153" w:gutter="0"/>
        </w:sectPr>
        <w:rPr/>
      </w:pPr>
    </w:p>
    <w:p>
      <w:pPr>
        <w:spacing w:line="467" w:lineRule="auto"/>
        <w:rPr>
          <w:rFonts w:ascii="Arial"/>
          <w:sz w:val="21"/>
        </w:rPr>
      </w:pPr>
      <w:r/>
    </w:p>
    <w:p>
      <w:pPr>
        <w:ind w:firstLine="570"/>
        <w:spacing w:line="13467" w:lineRule="exact"/>
        <w:rPr/>
      </w:pP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6097700" cy="8552024"/>
                    </a:xfrm>
                    <a:prstGeom prst="rect">
                      <a:avLst/>
                    </a:prstGeom>
                  </pic:spPr>
                </pic:pic>
              </a:graphicData>
            </a:graphic>
          </wp:inline>
        </w:drawing>
      </w:r>
    </w:p>
    <w:sectPr>
      <w:footerReference w:type="default" r:id="rId51"/>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1" w:lineRule="auto"/>
      <w:rPr>
        <w:sz w:val="16"/>
        <w:szCs w:val="16"/>
      </w:rPr>
    </w:pPr>
    <w:r>
      <w:rPr>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-35-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古县古阳镇中心学校2023年单位决算公开报告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古县古阳镇中心学校2023年单位决算公开报告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34"/>
      <w:szCs w:val="34"/>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5" Type="http://schemas.openxmlformats.org/officeDocument/2006/relationships/fontTable" Target="fontTable.xml"/><Relationship Id="rId54" Type="http://schemas.openxmlformats.org/officeDocument/2006/relationships/styles" Target="styles.xml"/><Relationship Id="rId53" Type="http://schemas.openxmlformats.org/officeDocument/2006/relationships/settings" Target="settings.xml"/><Relationship Id="rId52" Type="http://schemas.openxmlformats.org/officeDocument/2006/relationships/image" Target="media/image15.jpeg"/><Relationship Id="rId51" Type="http://schemas.openxmlformats.org/officeDocument/2006/relationships/footer" Target="footer35.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2024-09-12T16:37:44Z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2024-09-20T10:39:12</vt:filetime>
  </property>
</Properties>
</file>