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459"/>
        <w:spacing w:before="110" w:line="216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大 数 据 中 心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1491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1"/>
        <w:spacing w:before="27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（一）贯彻执行党中央、省、市、县有关大数据资源管理运用的方针政策、法律法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规和重大决策部署。</w:t>
      </w:r>
    </w:p>
    <w:p>
      <w:pPr>
        <w:ind w:left="707"/>
        <w:spacing w:before="128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（二）开展大数据工作研究分析，协助推进我县大数据战略实施。</w:t>
      </w:r>
    </w:p>
    <w:p>
      <w:pPr>
        <w:ind w:left="711" w:right="937" w:hanging="4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（三）统筹推进“文明智慧古县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”建设，协助拟订建设规划和年度建设计划并组织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实施。</w:t>
      </w:r>
    </w:p>
    <w:p>
      <w:pPr>
        <w:ind w:left="706" w:right="937" w:firstLine="1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（四）负责全县政务信息系统项目可行性评估、立项，提出拟订全县信息化建设、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信息基础建设、大数据发展规划、政策措施和评价体系建议并组织实施，推动政务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大数据集约化、标准化、规范化建设。</w:t>
      </w:r>
    </w:p>
    <w:p>
      <w:pPr>
        <w:ind w:left="706" w:right="937" w:firstLine="1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（五）承担全县政府数据、公共数据汇聚整合、互联互通、共享开放、应用融合等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数据管理工作，为县委、县政府提供数据支撑。</w:t>
      </w:r>
    </w:p>
    <w:p>
      <w:pPr>
        <w:ind w:left="708" w:right="937" w:hanging="1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（六）开展大数据应用政策研究，提出推广应用、优化产业布中心、产业结构的政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策建议，为全县电子政务发展提供技术支撑和服务保障。</w:t>
      </w:r>
    </w:p>
    <w:p>
      <w:pPr>
        <w:ind w:left="706" w:right="937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（七）承担培育发展大数据产业相关工作，提出拟订大数据、信息化人才发展规划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建议并组织实施，组织协调全县大数据、信息化人才教育有关工作；组织推动大数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据研究、开发、应用和对外合作交流。</w:t>
      </w:r>
    </w:p>
    <w:p>
      <w:pPr>
        <w:ind w:left="7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（八）推进做好大数据安全保障体系建设，配合做好网络信息安全工作。</w:t>
      </w:r>
    </w:p>
    <w:p>
      <w:pPr>
        <w:ind w:left="707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（九）完成县委、县政府和上级部门交办的其他任务。</w:t>
      </w:r>
    </w:p>
    <w:p>
      <w:pPr>
        <w:ind w:left="707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（十）有关职责分工。</w:t>
      </w:r>
    </w:p>
    <w:p>
      <w:pPr>
        <w:ind w:left="1208"/>
        <w:spacing w:before="273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7" w:right="811" w:firstLine="634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古县大数据中心2023年度部门决算由古县大数据中心本级一个预算单位组成。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根据主要职责，古县大数据中心本级现设有4个科室：综合室、发展规划室、电子政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务室、数据资源室。</w:t>
      </w:r>
    </w:p>
    <w:p>
      <w:pPr>
        <w:spacing w:line="309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部门名称：古县大数据中心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9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54.47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45.34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4.93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4.20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439"/>
        <w:gridCol w:w="1139"/>
        <w:gridCol w:w="1007"/>
        <w:gridCol w:w="755"/>
        <w:gridCol w:w="851"/>
        <w:gridCol w:w="911"/>
        <w:gridCol w:w="732"/>
        <w:gridCol w:w="761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5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6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999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7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62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58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6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5" w:right="68" w:hanging="358"/>
              <w:spacing w:before="202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7" w:right="30" w:hanging="184"/>
              <w:spacing w:before="204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line="208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6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8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3"/>
              <w:spacing w:line="200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6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13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40"/>
              <w:spacing w:before="13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860" w:type="dxa"/>
            <w:vAlign w:val="top"/>
            <w:gridSpan w:val="2"/>
          </w:tcPr>
          <w:p>
            <w:pPr>
              <w:ind w:left="122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39" w:type="dxa"/>
            <w:vAlign w:val="top"/>
          </w:tcPr>
          <w:p>
            <w:pPr>
              <w:ind w:left="515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07" w:type="dxa"/>
            <w:vAlign w:val="top"/>
          </w:tcPr>
          <w:p>
            <w:pPr>
              <w:ind w:left="443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55" w:type="dxa"/>
            <w:vAlign w:val="top"/>
          </w:tcPr>
          <w:p>
            <w:pPr>
              <w:ind w:left="318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51" w:type="dxa"/>
            <w:vAlign w:val="top"/>
          </w:tcPr>
          <w:p>
            <w:pPr>
              <w:ind w:left="367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32" w:type="dxa"/>
            <w:vAlign w:val="top"/>
          </w:tcPr>
          <w:p>
            <w:pPr>
              <w:ind w:left="310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61" w:type="dxa"/>
            <w:vAlign w:val="top"/>
          </w:tcPr>
          <w:p>
            <w:pPr>
              <w:ind w:left="322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860" w:type="dxa"/>
            <w:vAlign w:val="top"/>
            <w:gridSpan w:val="2"/>
          </w:tcPr>
          <w:p>
            <w:pPr>
              <w:ind w:left="1229"/>
              <w:spacing w:before="65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7"/>
              <w:spacing w:before="89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89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9" w:right="172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/>
              <w:spacing w:before="2" w:line="209" w:lineRule="auto"/>
              <w:rPr/>
            </w:pPr>
            <w:r>
              <w:rPr>
                <w:color w:val="212529"/>
                <w:spacing w:val="-2"/>
              </w:rPr>
              <w:t>党委办公厅</w:t>
            </w:r>
          </w:p>
          <w:p>
            <w:pPr>
              <w:pStyle w:val="TableText"/>
              <w:ind w:left="6" w:right="172" w:firstLine="2"/>
              <w:spacing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4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4" w:right="172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17"/>
        <w:gridCol w:w="1583"/>
        <w:gridCol w:w="1199"/>
        <w:gridCol w:w="1199"/>
        <w:gridCol w:w="110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299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部门名称：古县大数据中心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3" w:hRule="atLeast"/>
        </w:trPr>
        <w:tc>
          <w:tcPr>
            <w:tcW w:w="3100" w:type="dxa"/>
            <w:vAlign w:val="top"/>
            <w:gridSpan w:val="2"/>
          </w:tcPr>
          <w:p>
            <w:pPr>
              <w:ind w:left="134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3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9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2" w:line="210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381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12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3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99" w:type="dxa"/>
            <w:vAlign w:val="top"/>
          </w:tcPr>
          <w:p>
            <w:pPr>
              <w:ind w:left="539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03" w:type="dxa"/>
            <w:vAlign w:val="top"/>
          </w:tcPr>
          <w:p>
            <w:pPr>
              <w:ind w:left="492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52.33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4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 w:right="147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党委办公厅（室）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4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4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9" w:right="136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5" w:right="136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 w:right="13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19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92"/>
        <w:gridCol w:w="2997"/>
        <w:gridCol w:w="1511"/>
        <w:gridCol w:w="1367"/>
        <w:gridCol w:w="134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789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51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462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1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789" w:type="dxa"/>
            <w:vAlign w:val="top"/>
            <w:gridSpan w:val="2"/>
          </w:tcPr>
          <w:p>
            <w:pPr>
              <w:ind w:left="219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227" w:type="dxa"/>
            <w:vAlign w:val="top"/>
            <w:gridSpan w:val="3"/>
          </w:tcPr>
          <w:p>
            <w:pPr>
              <w:ind w:left="1732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92" w:type="dxa"/>
            <w:vAlign w:val="top"/>
          </w:tcPr>
          <w:p>
            <w:pPr>
              <w:ind w:left="513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97" w:type="dxa"/>
            <w:vAlign w:val="top"/>
          </w:tcPr>
          <w:p>
            <w:pPr>
              <w:ind w:left="111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11" w:type="dxa"/>
            <w:vAlign w:val="top"/>
          </w:tcPr>
          <w:p>
            <w:pPr>
              <w:ind w:left="556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67" w:type="dxa"/>
            <w:vAlign w:val="top"/>
          </w:tcPr>
          <w:p>
            <w:pPr>
              <w:ind w:left="308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49" w:type="dxa"/>
            <w:vAlign w:val="top"/>
          </w:tcPr>
          <w:p>
            <w:pPr>
              <w:ind w:left="29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789" w:type="dxa"/>
            <w:vAlign w:val="top"/>
            <w:gridSpan w:val="2"/>
          </w:tcPr>
          <w:p>
            <w:pPr>
              <w:ind w:left="219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706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5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61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789" w:type="dxa"/>
            <w:vAlign w:val="top"/>
            <w:gridSpan w:val="2"/>
          </w:tcPr>
          <w:p>
            <w:pPr>
              <w:pStyle w:val="TableText"/>
              <w:ind w:left="220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33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54.47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90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52.33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</w:tr>
      <w:tr>
        <w:trPr>
          <w:trHeight w:val="325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86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党委办公厅（室）及相关机构事务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8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45.34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8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43.21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2.13</w:t>
            </w:r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8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4.93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4.20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47.69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6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765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76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47.69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部门名称：古县大数据中心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单位名称：古县大数据中心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0.20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5" w:firstLine="500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2023年度收入总计54.47万元，支出总计54.4</w:t>
      </w:r>
      <w:r>
        <w:rPr>
          <w:rFonts w:ascii="FangSong" w:hAnsi="FangSong" w:eastAsia="FangSong" w:cs="FangSong"/>
          <w:sz w:val="25"/>
          <w:szCs w:val="25"/>
          <w:spacing w:val="1"/>
        </w:rPr>
        <w:t>7万元。与上年相比，收入总计增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加3.78万元，增长7.45%，支出总计增加</w:t>
      </w:r>
      <w:r>
        <w:rPr>
          <w:rFonts w:ascii="FangSong" w:hAnsi="FangSong" w:eastAsia="FangSong" w:cs="FangSong"/>
          <w:sz w:val="25"/>
          <w:szCs w:val="25"/>
          <w:spacing w:val="1"/>
        </w:rPr>
        <w:t>3.78万元，增长7.45%。主要原因是基本工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资普调，单位养老保险、住房公积金及基本医疗基数调整增加。</w:t>
      </w:r>
    </w:p>
    <w:p>
      <w:pPr>
        <w:ind w:left="12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2023年度收入合计54.47万元，其中：</w:t>
      </w:r>
    </w:p>
    <w:p>
      <w:pPr>
        <w:ind w:left="1212" w:right="5024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财政拨款收入54.47万元，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39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2023年度支出合计54.47万元，其中：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基本支出52.33万元，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占比96.08%；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项目支出2.13万元，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占比3.92%；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5" w:right="805" w:firstLine="501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2023年度财政拨款收入总计54.47万元，支出总计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54.47万元。与上年相比，财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政拨款收入总计增加3.78万元，增长7.</w:t>
      </w:r>
      <w:r>
        <w:rPr>
          <w:rFonts w:ascii="FangSong" w:hAnsi="FangSong" w:eastAsia="FangSong" w:cs="FangSong"/>
          <w:sz w:val="25"/>
          <w:szCs w:val="25"/>
          <w:spacing w:val="1"/>
        </w:rPr>
        <w:t>45%；财政拨款支出总计增加3.78万元，增长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7.45%。主要原因是基本工资普调，单位养老保险</w:t>
      </w:r>
      <w:r>
        <w:rPr>
          <w:rFonts w:ascii="FangSong" w:hAnsi="FangSong" w:eastAsia="FangSong" w:cs="FangSong"/>
          <w:sz w:val="25"/>
          <w:szCs w:val="25"/>
          <w:spacing w:val="1"/>
        </w:rPr>
        <w:t>、住房公积金及基本医疗基数调整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增加。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2023年一般公共预算财政拨款决算支出54.47万元，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925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100.00%。与上年相比，一般公共预算财政拨款支出增加3.78万元，增长7.45%。主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要原因是基本工资普调，单位养老保险、住房公积金及基本医疗基数调整增加。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4" w:right="1874" w:hanging="8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2023年度一般公共预算财政拨款支出54.47万元，主要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一般公共服务支出(类)45.34万元，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占比83.25%；</w:t>
      </w:r>
    </w:p>
    <w:p>
      <w:pPr>
        <w:spacing w:line="304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 w:right="4142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社会保障和就业支出(类)4.93万元，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占比9.05%；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住房保障支出(类)4.20万元，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占比7.70%。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1183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初预算53.04万元，支出决算54.47万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元，完成年初预算的102.69%。其中：</w:t>
      </w:r>
    </w:p>
    <w:p>
      <w:pPr>
        <w:ind w:left="698" w:right="811" w:firstLine="516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一般公共服务支出年初预算43.83万元，支出决算45.34万元，完成年初预算的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103.45%，用于人员经费、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日常公用经费等资金，较2022年决算增加1.</w:t>
      </w:r>
      <w:r>
        <w:rPr>
          <w:rFonts w:ascii="FangSong" w:hAnsi="FangSong" w:eastAsia="FangSong" w:cs="FangSong"/>
          <w:sz w:val="25"/>
          <w:szCs w:val="25"/>
          <w:spacing w:val="-1"/>
        </w:rPr>
        <w:t>89万元，增长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4.17%，主要原因是基本工资普调增加；</w:t>
      </w:r>
    </w:p>
    <w:p>
      <w:pPr>
        <w:ind w:left="700" w:right="811" w:firstLine="636"/>
        <w:spacing w:before="3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社会保障和就业支出年初预算5.06万元，支出决算4.93万元，完成年初预算的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97.43%，用于单位养老保险资金，较2022年决算增加1.07万元，增长21.7%，主要原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因是单位养老保险基数调整；</w:t>
      </w:r>
    </w:p>
    <w:p>
      <w:pPr>
        <w:ind w:left="706" w:right="862" w:firstLine="504"/>
        <w:spacing w:before="43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住房保障支出年初预算4.15万元，支出决算4.2万元，完成年初预算的101.2%，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用于住房公积金资金，较2022年决算增加0.83万元，增长19.76%，主要原因是住房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公积金基数调整。</w:t>
      </w:r>
    </w:p>
    <w:p>
      <w:pPr>
        <w:ind w:left="1205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2023年度财政拨款基本支出52.33万元，其中：</w:t>
      </w:r>
    </w:p>
    <w:p>
      <w:pPr>
        <w:ind w:left="698" w:right="931" w:firstLine="516"/>
        <w:spacing w:before="127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人员经费47.69万元，主要包括工资福利费中的基本工资16.26万元、津贴补贴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4.06万元、绩效工资15.67万元、</w:t>
      </w:r>
      <w:r>
        <w:rPr>
          <w:rFonts w:ascii="FangSong" w:hAnsi="FangSong" w:eastAsia="FangSong" w:cs="FangSong"/>
          <w:sz w:val="25"/>
          <w:szCs w:val="25"/>
          <w:spacing w:val="1"/>
        </w:rPr>
        <w:t>基本医疗保险2.16万元、住房公积金4.2万元、其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他社会保障10.42万元等；</w:t>
      </w:r>
    </w:p>
    <w:p>
      <w:pPr>
        <w:ind w:left="708" w:right="936" w:firstLine="507"/>
        <w:spacing w:before="42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公用经费4.64万元，主要包括办公费1.04万元、印刷费0.43万元、劳务费0.86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万元等。</w:t>
      </w:r>
    </w:p>
    <w:p>
      <w:pPr>
        <w:ind w:left="1197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216"/>
        <w:spacing w:before="4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</w:p>
    <w:p>
      <w:pPr>
        <w:spacing w:line="221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7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因公出国境费支出。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要是本单位无国境外接待费支出。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7" w:right="937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2023年度政府采购支出总额0.20万元，其中：政府采购货物支出0.20万元、政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708" w:right="925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0" w:right="810" w:firstLine="627"/>
        <w:spacing w:before="13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面开展了绩效自评，涉及二级项目2个，共涉及资金2.13万元，其中一般公共预算项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目支出2.13万元、政府性基金预算项目支出0万元、国有资金经营预算项目支出0万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自评结果为：1个项</w:t>
      </w:r>
      <w:r>
        <w:rPr>
          <w:rFonts w:ascii="FangSong" w:hAnsi="FangSong" w:eastAsia="FangSong" w:cs="FangSong"/>
          <w:sz w:val="25"/>
          <w:szCs w:val="25"/>
          <w:spacing w:val="-2"/>
        </w:rPr>
        <w:t>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</w:t>
      </w:r>
    </w:p>
    <w:p>
      <w:pPr>
        <w:spacing w:line="311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7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5"/>
        </w:rPr>
        <w:t>个项目自评等级为“</w:t>
      </w:r>
      <w:r>
        <w:rPr>
          <w:rFonts w:ascii="FangSong" w:hAnsi="FangSong" w:eastAsia="FangSong" w:cs="FangSong"/>
          <w:sz w:val="25"/>
          <w:szCs w:val="25"/>
          <w:spacing w:val="-6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</w:t>
      </w:r>
      <w:r>
        <w:rPr>
          <w:rFonts w:ascii="FangSong" w:hAnsi="FangSong" w:eastAsia="FangSong" w:cs="FangSong"/>
          <w:sz w:val="25"/>
          <w:szCs w:val="25"/>
          <w:spacing w:val="2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”，0个项目自评等级</w:t>
      </w:r>
    </w:p>
    <w:p>
      <w:pPr>
        <w:ind w:left="708" w:right="937" w:firstLine="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”。对于自评结果为“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”的项目，本部门（单位）采取</w:t>
      </w:r>
      <w:r>
        <w:rPr>
          <w:rFonts w:ascii="FangSong" w:hAnsi="FangSong" w:eastAsia="FangSong" w:cs="FangSong"/>
          <w:sz w:val="25"/>
          <w:szCs w:val="25"/>
          <w:spacing w:val="-4"/>
        </w:rPr>
        <w:t>的改进管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理措施为无。</w:t>
      </w:r>
    </w:p>
    <w:p>
      <w:pPr>
        <w:ind w:left="1219"/>
        <w:spacing w:before="3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二是组织对大数据中心业务费等2个二级项目开展了部门评价，涉及资金2.13</w:t>
      </w:r>
    </w:p>
    <w:p>
      <w:pPr>
        <w:ind w:left="706" w:right="811" w:firstLine="4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元，其中一般公共预算支出2.13万元、政府性基金预算支出0万元、国有资金经营预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算支出0万元、社会保险基金预算支出0万元。从评价结果来看，党报党刊项目全年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执行预算数0.13万元，执行数为0.13万元，执行率100%，项目绩效目标完成情况：</w:t>
      </w:r>
    </w:p>
    <w:p>
      <w:pPr>
        <w:ind w:left="706" w:right="937" w:firstLine="6"/>
        <w:spacing w:before="42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党报党刊征订及支付已完成；下一步改进措施是提高政治觉悟，不断锤炼党性。数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据中心业务费项目全年执行预算数2万元，执行数为2元，执行率100%，项目绩效目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标完成情况：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已完成；下一步改进措施是提高工作效率，保障工作质量，增强预算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管理，资金管理。</w:t>
      </w:r>
    </w:p>
    <w:p>
      <w:pPr>
        <w:ind w:left="707" w:right="6515" w:firstLine="498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-2"/>
        </w:rPr>
        <w:t>本单位无其他需要说明的事项。</w:t>
      </w:r>
    </w:p>
    <w:p>
      <w:pPr>
        <w:spacing w:line="30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</w:t>
      </w:r>
    </w:p>
    <w:p>
      <w:pPr>
        <w:ind w:left="706" w:right="937" w:firstLine="7"/>
        <w:spacing w:before="129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十四、住房保障支出：反映行政事业单位按人力资源和社会保障部、财政部规定的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基本工资和津贴补贴以及规定比例为职工缴纳的住房公积金。</w:t>
      </w:r>
    </w:p>
    <w:p>
      <w:pPr>
        <w:ind w:left="713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十五、社会保障和就业支出：反映政府在社会保障与就业方面的支出。</w:t>
      </w:r>
    </w:p>
    <w:p>
      <w:pPr>
        <w:spacing w:line="221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2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古县大数据中心2023年部门决算公开报告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古县大数据中心2023年部门决算公开报告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6" Type="http://schemas.openxmlformats.org/officeDocument/2006/relationships/fontTable" Target="fontTable.xml"/><Relationship Id="rId65" Type="http://schemas.openxmlformats.org/officeDocument/2006/relationships/styles" Target="styles.xml"/><Relationship Id="rId64" Type="http://schemas.openxmlformats.org/officeDocument/2006/relationships/settings" Target="settings.xml"/><Relationship Id="rId63" Type="http://schemas.openxmlformats.org/officeDocument/2006/relationships/image" Target="media/image20.jpeg"/><Relationship Id="rId62" Type="http://schemas.openxmlformats.org/officeDocument/2006/relationships/footer" Target="footer41.xml"/><Relationship Id="rId61" Type="http://schemas.openxmlformats.org/officeDocument/2006/relationships/image" Target="media/image19.jpeg"/><Relationship Id="rId60" Type="http://schemas.openxmlformats.org/officeDocument/2006/relationships/footer" Target="footer40.xml"/><Relationship Id="rId6" Type="http://schemas.openxmlformats.org/officeDocument/2006/relationships/footer" Target="footer5.xml"/><Relationship Id="rId59" Type="http://schemas.openxmlformats.org/officeDocument/2006/relationships/image" Target="media/image18.jpeg"/><Relationship Id="rId58" Type="http://schemas.openxmlformats.org/officeDocument/2006/relationships/footer" Target="footer39.xml"/><Relationship Id="rId57" Type="http://schemas.openxmlformats.org/officeDocument/2006/relationships/image" Target="media/image17.jpeg"/><Relationship Id="rId56" Type="http://schemas.openxmlformats.org/officeDocument/2006/relationships/footer" Target="footer38.xml"/><Relationship Id="rId55" Type="http://schemas.openxmlformats.org/officeDocument/2006/relationships/image" Target="media/image16.jpeg"/><Relationship Id="rId54" Type="http://schemas.openxmlformats.org/officeDocument/2006/relationships/footer" Target="footer37.xml"/><Relationship Id="rId53" Type="http://schemas.openxmlformats.org/officeDocument/2006/relationships/image" Target="media/image15.jpeg"/><Relationship Id="rId52" Type="http://schemas.openxmlformats.org/officeDocument/2006/relationships/footer" Target="footer36.xml"/><Relationship Id="rId51" Type="http://schemas.openxmlformats.org/officeDocument/2006/relationships/image" Target="media/image14.jpeg"/><Relationship Id="rId50" Type="http://schemas.openxmlformats.org/officeDocument/2006/relationships/footer" Target="footer35.xml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2024-08-27T16:44:47Z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2024-09-20T10:27:36</vt:filetime>
  </property>
</Properties>
</file>