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1004"/>
        <w:spacing w:before="111" w:line="219" w:lineRule="auto"/>
        <w:outlineLvl w:val="0"/>
        <w:rPr>
          <w:rFonts w:ascii="SimSun" w:hAnsi="SimSun" w:eastAsia="SimSun" w:cs="SimSun"/>
          <w:sz w:val="34"/>
          <w:szCs w:val="34"/>
        </w:rPr>
      </w:pPr>
      <w:r>
        <w:rPr>
          <w:rFonts w:ascii="SimSun" w:hAnsi="SimSun" w:eastAsia="SimSun" w:cs="SimSun"/>
          <w:sz w:val="34"/>
          <w:szCs w:val="34"/>
          <w:spacing w:val="-10"/>
        </w:rPr>
        <w:t>中 国 共 产 党 古 县 委 员 会 宣 传 部</w:t>
      </w:r>
    </w:p>
    <w:p>
      <w:pPr>
        <w:pStyle w:val="BodyText"/>
        <w:spacing w:line="318" w:lineRule="auto"/>
        <w:rPr/>
      </w:pPr>
      <w:r/>
    </w:p>
    <w:p>
      <w:pPr>
        <w:pStyle w:val="BodyText"/>
        <w:spacing w:line="318" w:lineRule="auto"/>
        <w:rPr/>
      </w:pPr>
      <w:r/>
    </w:p>
    <w:p>
      <w:pPr>
        <w:ind w:left="1491"/>
        <w:spacing w:before="110" w:line="217" w:lineRule="auto"/>
        <w:rPr>
          <w:rFonts w:ascii="SimSun" w:hAnsi="SimSun" w:eastAsia="SimSun" w:cs="SimSun"/>
          <w:sz w:val="34"/>
          <w:szCs w:val="34"/>
        </w:rPr>
      </w:pPr>
      <w:r>
        <w:rPr>
          <w:rFonts w:ascii="SimSun" w:hAnsi="SimSun" w:eastAsia="SimSun" w:cs="SimSun"/>
          <w:sz w:val="34"/>
          <w:szCs w:val="34"/>
          <w:spacing w:val="1"/>
        </w:rPr>
        <w:t>2 0 2 3</w:t>
      </w:r>
      <w:r>
        <w:rPr>
          <w:rFonts w:ascii="SimSun" w:hAnsi="SimSun" w:eastAsia="SimSun" w:cs="SimSun"/>
          <w:sz w:val="34"/>
          <w:szCs w:val="34"/>
          <w:spacing w:val="-3"/>
        </w:rPr>
        <w:t xml:space="preserve"> </w:t>
      </w:r>
      <w:r>
        <w:rPr>
          <w:rFonts w:ascii="SimSun" w:hAnsi="SimSun" w:eastAsia="SimSun" w:cs="SimSun"/>
          <w:sz w:val="34"/>
          <w:szCs w:val="34"/>
          <w:spacing w:val="1"/>
        </w:rPr>
        <w:t>年 度</w:t>
      </w:r>
      <w:r>
        <w:rPr>
          <w:rFonts w:ascii="SimSun" w:hAnsi="SimSun" w:eastAsia="SimSun" w:cs="SimSun"/>
          <w:sz w:val="34"/>
          <w:szCs w:val="34"/>
          <w:spacing w:val="-8"/>
        </w:rPr>
        <w:t xml:space="preserve"> </w:t>
      </w:r>
      <w:r>
        <w:rPr>
          <w:rFonts w:ascii="SimSun" w:hAnsi="SimSun" w:eastAsia="SimSun" w:cs="SimSun"/>
          <w:sz w:val="34"/>
          <w:szCs w:val="34"/>
          <w:spacing w:val="1"/>
        </w:rPr>
        <w:t>单</w:t>
      </w:r>
      <w:r>
        <w:rPr>
          <w:rFonts w:ascii="SimSun" w:hAnsi="SimSun" w:eastAsia="SimSun" w:cs="SimSun"/>
          <w:sz w:val="34"/>
          <w:szCs w:val="34"/>
          <w:spacing w:val="-14"/>
        </w:rPr>
        <w:t xml:space="preserve"> </w:t>
      </w:r>
      <w:r>
        <w:rPr>
          <w:rFonts w:ascii="SimSun" w:hAnsi="SimSun" w:eastAsia="SimSun" w:cs="SimSun"/>
          <w:sz w:val="34"/>
          <w:szCs w:val="34"/>
          <w:spacing w:val="1"/>
        </w:rPr>
        <w:t>位</w:t>
      </w:r>
      <w:r>
        <w:rPr>
          <w:rFonts w:ascii="SimSun" w:hAnsi="SimSun" w:eastAsia="SimSun" w:cs="SimSun"/>
          <w:sz w:val="34"/>
          <w:szCs w:val="34"/>
          <w:spacing w:val="-12"/>
        </w:rPr>
        <w:t xml:space="preserve"> </w:t>
      </w:r>
      <w:r>
        <w:rPr>
          <w:rFonts w:ascii="SimSun" w:hAnsi="SimSun" w:eastAsia="SimSun" w:cs="SimSun"/>
          <w:sz w:val="34"/>
          <w:szCs w:val="34"/>
          <w:spacing w:val="1"/>
        </w:rPr>
        <w:t>决</w:t>
      </w:r>
      <w:r>
        <w:rPr>
          <w:rFonts w:ascii="SimSun" w:hAnsi="SimSun" w:eastAsia="SimSun" w:cs="SimSun"/>
          <w:sz w:val="34"/>
          <w:szCs w:val="34"/>
          <w:spacing w:val="-6"/>
        </w:rPr>
        <w:t xml:space="preserve"> </w:t>
      </w:r>
      <w:r>
        <w:rPr>
          <w:rFonts w:ascii="SimSun" w:hAnsi="SimSun" w:eastAsia="SimSun" w:cs="SimSun"/>
          <w:sz w:val="34"/>
          <w:szCs w:val="34"/>
          <w:spacing w:val="1"/>
        </w:rPr>
        <w:t>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7" w:lineRule="auto"/>
        <w:sectPr>
          <w:pgSz w:w="11900" w:h="16840"/>
          <w:pgMar w:top="1431" w:right="1785" w:bottom="0" w:left="1785" w:header="0" w:footer="0" w:gutter="0"/>
        </w:sectPr>
        <w:rPr>
          <w:rFonts w:ascii="SimSun" w:hAnsi="SimSun" w:eastAsia="SimSun" w:cs="SimSun"/>
          <w:sz w:val="34"/>
          <w:szCs w:val="34"/>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15</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9"/>
              </w:rPr>
              <w:t>20</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07" w:right="937" w:firstLine="14"/>
        <w:spacing w:before="272" w:line="312" w:lineRule="auto"/>
        <w:rPr>
          <w:rFonts w:ascii="FangSong" w:hAnsi="FangSong" w:eastAsia="FangSong" w:cs="FangSong"/>
          <w:sz w:val="25"/>
          <w:szCs w:val="25"/>
        </w:rPr>
      </w:pPr>
      <w:r>
        <w:rPr>
          <w:rFonts w:ascii="FangSong" w:hAnsi="FangSong" w:eastAsia="FangSong" w:cs="FangSong"/>
          <w:sz w:val="25"/>
          <w:szCs w:val="25"/>
          <w:spacing w:val="1"/>
        </w:rPr>
        <w:t>宣传贯彻党的路线、方针、政策；掌握全县党员、干部和人民群众的思想状态，及</w:t>
      </w:r>
      <w:r>
        <w:rPr>
          <w:rFonts w:ascii="FangSong" w:hAnsi="FangSong" w:eastAsia="FangSong" w:cs="FangSong"/>
          <w:sz w:val="25"/>
          <w:szCs w:val="25"/>
          <w:spacing w:val="2"/>
        </w:rPr>
        <w:t xml:space="preserve"> </w:t>
      </w:r>
      <w:r>
        <w:rPr>
          <w:rFonts w:ascii="FangSong" w:hAnsi="FangSong" w:eastAsia="FangSong" w:cs="FangSong"/>
          <w:sz w:val="25"/>
          <w:szCs w:val="25"/>
          <w:spacing w:val="1"/>
        </w:rPr>
        <w:t>时向县委和上级有关部门反馈；负责党员教育、理论教育、通讯报道；规划部署、</w:t>
      </w:r>
      <w:r>
        <w:rPr>
          <w:rFonts w:ascii="FangSong" w:hAnsi="FangSong" w:eastAsia="FangSong" w:cs="FangSong"/>
          <w:sz w:val="25"/>
          <w:szCs w:val="25"/>
          <w:spacing w:val="17"/>
        </w:rPr>
        <w:t xml:space="preserve"> </w:t>
      </w:r>
      <w:r>
        <w:rPr>
          <w:rFonts w:ascii="FangSong" w:hAnsi="FangSong" w:eastAsia="FangSong" w:cs="FangSong"/>
          <w:sz w:val="25"/>
          <w:szCs w:val="25"/>
          <w:spacing w:val="1"/>
        </w:rPr>
        <w:t>组织实施全县群众社会主义精神文明建设活动；培育文学艺术人才，加强县内外文</w:t>
      </w:r>
      <w:r>
        <w:rPr>
          <w:rFonts w:ascii="FangSong" w:hAnsi="FangSong" w:eastAsia="FangSong" w:cs="FangSong"/>
          <w:sz w:val="25"/>
          <w:szCs w:val="25"/>
          <w:spacing w:val="17"/>
        </w:rPr>
        <w:t xml:space="preserve"> </w:t>
      </w:r>
      <w:r>
        <w:rPr>
          <w:rFonts w:ascii="FangSong" w:hAnsi="FangSong" w:eastAsia="FangSong" w:cs="FangSong"/>
          <w:sz w:val="25"/>
          <w:szCs w:val="25"/>
          <w:spacing w:val="-2"/>
        </w:rPr>
        <w:t>学艺术交流。</w:t>
      </w:r>
    </w:p>
    <w:p>
      <w:pPr>
        <w:ind w:left="1208"/>
        <w:spacing w:before="184"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07" w:right="937"/>
        <w:spacing w:before="130" w:line="309" w:lineRule="auto"/>
        <w:jc w:val="both"/>
        <w:rPr>
          <w:rFonts w:ascii="FangSong" w:hAnsi="FangSong" w:eastAsia="FangSong" w:cs="FangSong"/>
          <w:sz w:val="25"/>
          <w:szCs w:val="25"/>
        </w:rPr>
      </w:pPr>
      <w:r>
        <w:rPr>
          <w:rFonts w:ascii="FangSong" w:hAnsi="FangSong" w:eastAsia="FangSong" w:cs="FangSong"/>
          <w:sz w:val="25"/>
          <w:szCs w:val="25"/>
          <w:spacing w:val="1"/>
        </w:rPr>
        <w:t>根据主要职责，古县县委宣传部本级设5个内设机构，分别是:综合办公室、宣传教</w:t>
      </w:r>
      <w:r>
        <w:rPr>
          <w:rFonts w:ascii="FangSong" w:hAnsi="FangSong" w:eastAsia="FangSong" w:cs="FangSong"/>
          <w:sz w:val="25"/>
          <w:szCs w:val="25"/>
          <w:spacing w:val="16"/>
        </w:rPr>
        <w:t xml:space="preserve"> </w:t>
      </w:r>
      <w:r>
        <w:rPr>
          <w:rFonts w:ascii="FangSong" w:hAnsi="FangSong" w:eastAsia="FangSong" w:cs="FangSong"/>
          <w:sz w:val="25"/>
          <w:szCs w:val="25"/>
          <w:spacing w:val="1"/>
        </w:rPr>
        <w:t>育和新闻股（应急新闻办公室）、理论和政策法规研究股、文化和精神文明建设股</w:t>
      </w:r>
      <w:r>
        <w:rPr>
          <w:rFonts w:ascii="FangSong" w:hAnsi="FangSong" w:eastAsia="FangSong" w:cs="FangSong"/>
          <w:sz w:val="25"/>
          <w:szCs w:val="25"/>
          <w:spacing w:val="17"/>
        </w:rPr>
        <w:t xml:space="preserve"> </w:t>
      </w:r>
      <w:r>
        <w:rPr>
          <w:rFonts w:ascii="FangSong" w:hAnsi="FangSong" w:eastAsia="FangSong" w:cs="FangSong"/>
          <w:sz w:val="25"/>
          <w:szCs w:val="25"/>
          <w:spacing w:val="1"/>
        </w:rPr>
        <w:t>（县精神文明建设指导委员会办公室）、网络安全和信息化委员会办公室。</w:t>
      </w:r>
    </w:p>
    <w:p>
      <w:pPr>
        <w:spacing w:line="309"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部门名称：中国共产党古县委员会宣传部</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37"/>
              <w:spacing w:before="155" w:line="188" w:lineRule="auto"/>
              <w:rPr>
                <w:sz w:val="15"/>
                <w:szCs w:val="15"/>
              </w:rPr>
            </w:pPr>
            <w:r>
              <w:rPr>
                <w:sz w:val="15"/>
                <w:szCs w:val="15"/>
                <w:color w:val="212529"/>
                <w:spacing w:val="1"/>
              </w:rPr>
              <w:t>309.29</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pStyle w:val="TableText"/>
              <w:ind w:left="1069"/>
              <w:spacing w:before="155" w:line="188" w:lineRule="auto"/>
              <w:rPr>
                <w:sz w:val="15"/>
                <w:szCs w:val="15"/>
              </w:rPr>
            </w:pPr>
            <w:r>
              <w:rPr>
                <w:sz w:val="15"/>
                <w:szCs w:val="15"/>
                <w:color w:val="212529"/>
                <w:spacing w:val="1"/>
              </w:rPr>
              <w:t>264.07</w:t>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pStyle w:val="TableText"/>
              <w:ind w:left="1151"/>
              <w:spacing w:before="157" w:line="189" w:lineRule="auto"/>
              <w:rPr>
                <w:sz w:val="15"/>
                <w:szCs w:val="15"/>
              </w:rPr>
            </w:pPr>
            <w:r>
              <w:rPr>
                <w:sz w:val="15"/>
                <w:szCs w:val="15"/>
                <w:color w:val="212529"/>
                <w:spacing w:val="-1"/>
              </w:rPr>
              <w:t>12.41</w:t>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151"/>
              <w:spacing w:before="157" w:line="189" w:lineRule="auto"/>
              <w:rPr>
                <w:sz w:val="15"/>
                <w:szCs w:val="15"/>
              </w:rPr>
            </w:pPr>
            <w:r>
              <w:rPr>
                <w:sz w:val="15"/>
                <w:szCs w:val="15"/>
                <w:color w:val="212529"/>
                <w:spacing w:val="-1"/>
              </w:rPr>
              <w:t>18.71</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151"/>
              <w:spacing w:before="158" w:line="189" w:lineRule="auto"/>
              <w:rPr>
                <w:sz w:val="15"/>
                <w:szCs w:val="15"/>
              </w:rPr>
            </w:pPr>
            <w:r>
              <w:rPr>
                <w:sz w:val="15"/>
                <w:szCs w:val="15"/>
                <w:color w:val="212529"/>
                <w:spacing w:val="-1"/>
              </w:rPr>
              <w:t>13.14</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pStyle w:val="TableText"/>
              <w:ind w:left="1224"/>
              <w:spacing w:before="160" w:line="188" w:lineRule="auto"/>
              <w:rPr>
                <w:sz w:val="15"/>
                <w:szCs w:val="15"/>
              </w:rPr>
            </w:pPr>
            <w:r>
              <w:rPr>
                <w:sz w:val="15"/>
                <w:szCs w:val="15"/>
                <w:color w:val="212529"/>
                <w:spacing w:val="1"/>
              </w:rPr>
              <w:t>0.96</w:t>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pStyle w:val="BodyText"/>
        <w:rPr/>
      </w:pPr>
      <w:r/>
    </w:p>
    <w:p>
      <w:pPr>
        <w:sectPr>
          <w:footerReference w:type="default" r:id="rId3"/>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0" w:id="35"/>
            <w:bookmarkEnd w:id="35"/>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6" w:line="183" w:lineRule="auto"/>
              <w:jc w:val="right"/>
              <w:rPr/>
            </w:pPr>
            <w:r>
              <w:rPr>
                <w:color w:val="212529"/>
                <w:spacing w:val="-2"/>
              </w:rPr>
              <w:t>309.29</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6" w:line="183" w:lineRule="auto"/>
              <w:jc w:val="right"/>
              <w:rPr/>
            </w:pPr>
            <w:r>
              <w:rPr>
                <w:color w:val="212529"/>
                <w:spacing w:val="-2"/>
              </w:rPr>
              <w:t>309.29</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40" w:line="183" w:lineRule="auto"/>
              <w:jc w:val="right"/>
              <w:rPr/>
            </w:pPr>
            <w:r>
              <w:rPr>
                <w:color w:val="212529"/>
                <w:spacing w:val="-2"/>
              </w:rPr>
              <w:t>309.29</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40" w:line="183" w:lineRule="auto"/>
              <w:jc w:val="right"/>
              <w:rPr/>
            </w:pPr>
            <w:r>
              <w:rPr>
                <w:color w:val="212529"/>
                <w:spacing w:val="-2"/>
              </w:rPr>
              <w:t>309.29</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4"/>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1115"/>
        <w:gridCol w:w="1247"/>
        <w:gridCol w:w="1115"/>
        <w:gridCol w:w="767"/>
        <w:gridCol w:w="875"/>
        <w:gridCol w:w="935"/>
        <w:gridCol w:w="744"/>
        <w:gridCol w:w="773"/>
      </w:tblGrid>
      <w:tr>
        <w:trPr>
          <w:trHeight w:val="332"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6" w:hRule="atLeast"/>
        </w:trPr>
        <w:tc>
          <w:tcPr>
            <w:tcW w:w="144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6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73" w:type="dxa"/>
            <w:vAlign w:val="top"/>
            <w:tcBorders>
              <w:bottom w:val="single" w:color="FFFFFF" w:sz="4" w:space="0"/>
              <w:top w:val="single" w:color="FFFFFF" w:sz="4" w:space="0"/>
              <w:left w:val="single" w:color="FFFFFF" w:sz="2" w:space="0"/>
              <w:right w:val="single" w:color="FFFFFF" w:sz="2" w:space="0"/>
            </w:tcBorders>
          </w:tcPr>
          <w:p>
            <w:pPr>
              <w:pStyle w:val="TableText"/>
              <w:ind w:left="173"/>
              <w:spacing w:before="76" w:line="226" w:lineRule="auto"/>
              <w:rPr>
                <w:sz w:val="14"/>
                <w:szCs w:val="14"/>
              </w:rPr>
            </w:pPr>
            <w:r>
              <w:rPr>
                <w:sz w:val="14"/>
                <w:szCs w:val="14"/>
                <w:color w:val="212529"/>
              </w:rPr>
              <w:t>公开02表</w:t>
            </w:r>
          </w:p>
        </w:tc>
      </w:tr>
      <w:tr>
        <w:trPr>
          <w:trHeight w:val="326" w:hRule="atLeast"/>
        </w:trPr>
        <w:tc>
          <w:tcPr>
            <w:tcW w:w="3807" w:type="dxa"/>
            <w:vAlign w:val="top"/>
            <w:gridSpan w:val="3"/>
            <w:tcBorders>
              <w:top w:val="single" w:color="FFFFFF" w:sz="4" w:space="0"/>
              <w:left w:val="single" w:color="000000" w:sz="2" w:space="0"/>
              <w:right w:val="single" w:color="000000" w:sz="2" w:space="0"/>
            </w:tcBorders>
          </w:tcPr>
          <w:p>
            <w:pPr>
              <w:pStyle w:val="TableText"/>
              <w:ind w:left="11"/>
              <w:spacing w:before="76" w:line="224" w:lineRule="auto"/>
              <w:rPr>
                <w:sz w:val="14"/>
                <w:szCs w:val="14"/>
              </w:rPr>
            </w:pPr>
            <w:r>
              <w:rPr>
                <w:sz w:val="14"/>
                <w:szCs w:val="14"/>
                <w:color w:val="212529"/>
                <w:spacing w:val="3"/>
              </w:rPr>
              <w:t>部门名称：中国共产党古县委员会宣传部</w:t>
            </w:r>
          </w:p>
        </w:tc>
        <w:tc>
          <w:tcPr>
            <w:tcW w:w="1882" w:type="dxa"/>
            <w:vAlign w:val="top"/>
            <w:gridSpan w:val="2"/>
            <w:tcBorders>
              <w:top w:val="single" w:color="FFFFFF" w:sz="4" w:space="0"/>
              <w:left w:val="single" w:color="000000" w:sz="2" w:space="0"/>
              <w:right w:val="single" w:color="000000" w:sz="2" w:space="0"/>
            </w:tcBorders>
          </w:tcPr>
          <w:p>
            <w:pPr>
              <w:pStyle w:val="TableText"/>
              <w:ind w:left="622"/>
              <w:spacing w:before="78" w:line="227" w:lineRule="auto"/>
              <w:rPr>
                <w:sz w:val="15"/>
                <w:szCs w:val="15"/>
              </w:rPr>
            </w:pPr>
            <w:r>
              <w:rPr>
                <w:sz w:val="15"/>
                <w:szCs w:val="15"/>
                <w:color w:val="212529"/>
                <w:spacing w:val="2"/>
              </w:rPr>
              <w:t>2023年度</w:t>
            </w:r>
          </w:p>
        </w:tc>
        <w:tc>
          <w:tcPr>
            <w:tcW w:w="875" w:type="dxa"/>
            <w:vAlign w:val="top"/>
            <w:tcBorders>
              <w:top w:val="single" w:color="FFFFFF" w:sz="4" w:space="0"/>
              <w:left w:val="single" w:color="000000" w:sz="2" w:space="0"/>
              <w:right w:val="single" w:color="000000" w:sz="2" w:space="0"/>
            </w:tcBorders>
          </w:tcPr>
          <w:p>
            <w:pPr>
              <w:rPr>
                <w:rFonts w:ascii="Arial"/>
                <w:sz w:val="21"/>
              </w:rPr>
            </w:pPr>
            <w:r/>
          </w:p>
        </w:tc>
        <w:tc>
          <w:tcPr>
            <w:tcW w:w="935" w:type="dxa"/>
            <w:vAlign w:val="top"/>
            <w:tcBorders>
              <w:top w:val="single" w:color="FFFFFF" w:sz="4" w:space="0"/>
              <w:left w:val="single" w:color="000000" w:sz="2" w:space="0"/>
              <w:right w:val="single" w:color="000000" w:sz="2" w:space="0"/>
            </w:tcBorders>
          </w:tcPr>
          <w:p>
            <w:pPr>
              <w:rPr>
                <w:rFonts w:ascii="Arial"/>
                <w:sz w:val="21"/>
              </w:rPr>
            </w:pPr>
            <w:r/>
          </w:p>
        </w:tc>
        <w:tc>
          <w:tcPr>
            <w:tcW w:w="1517" w:type="dxa"/>
            <w:vAlign w:val="top"/>
            <w:gridSpan w:val="2"/>
            <w:tcBorders>
              <w:top w:val="single" w:color="FFFFFF" w:sz="4" w:space="0"/>
              <w:left w:val="single" w:color="000000" w:sz="2" w:space="0"/>
              <w:right w:val="single" w:color="000000" w:sz="2" w:space="0"/>
            </w:tcBorders>
          </w:tcPr>
          <w:p>
            <w:pPr>
              <w:pStyle w:val="TableText"/>
              <w:ind w:left="482"/>
              <w:spacing w:before="76" w:line="225" w:lineRule="auto"/>
              <w:rPr>
                <w:sz w:val="14"/>
                <w:szCs w:val="14"/>
              </w:rPr>
            </w:pPr>
            <w:r>
              <w:rPr>
                <w:sz w:val="14"/>
                <w:szCs w:val="14"/>
                <w:color w:val="212529"/>
                <w:spacing w:val="2"/>
              </w:rPr>
              <w:t>金额单位：万元</w:t>
            </w:r>
          </w:p>
        </w:tc>
      </w:tr>
      <w:tr>
        <w:trPr>
          <w:trHeight w:val="326" w:hRule="atLeast"/>
        </w:trPr>
        <w:tc>
          <w:tcPr>
            <w:tcW w:w="2560" w:type="dxa"/>
            <w:vAlign w:val="top"/>
            <w:gridSpan w:val="2"/>
          </w:tcPr>
          <w:p>
            <w:pPr>
              <w:pStyle w:val="TableText"/>
              <w:ind w:left="1086"/>
              <w:spacing w:before="57" w:line="220" w:lineRule="auto"/>
              <w:rPr/>
            </w:pPr>
            <w:r>
              <w:rPr>
                <w:color w:val="212529"/>
                <w:spacing w:val="-6"/>
              </w:rPr>
              <w:t>项目</w:t>
            </w:r>
          </w:p>
        </w:tc>
        <w:tc>
          <w:tcPr>
            <w:tcW w:w="1247" w:type="dxa"/>
            <w:vAlign w:val="top"/>
            <w:vMerge w:val="restart"/>
            <w:tcBorders>
              <w:bottom w:val="nil"/>
            </w:tcBorders>
          </w:tcPr>
          <w:p>
            <w:pPr>
              <w:pStyle w:val="TableText"/>
              <w:ind w:left="66"/>
              <w:spacing w:before="297" w:line="219" w:lineRule="auto"/>
              <w:rPr/>
            </w:pPr>
            <w:r>
              <w:rPr>
                <w:color w:val="212529"/>
                <w:spacing w:val="-2"/>
              </w:rPr>
              <w:t>本年收入合计</w:t>
            </w:r>
          </w:p>
        </w:tc>
        <w:tc>
          <w:tcPr>
            <w:tcW w:w="1115" w:type="dxa"/>
            <w:vAlign w:val="top"/>
            <w:vMerge w:val="restart"/>
            <w:tcBorders>
              <w:bottom w:val="nil"/>
            </w:tcBorders>
          </w:tcPr>
          <w:p>
            <w:pPr>
              <w:pStyle w:val="TableText"/>
              <w:ind w:left="1"/>
              <w:spacing w:before="298" w:line="219" w:lineRule="auto"/>
              <w:rPr/>
            </w:pPr>
            <w:r>
              <w:rPr>
                <w:color w:val="212529"/>
                <w:spacing w:val="-2"/>
              </w:rPr>
              <w:t>财政拨款收入</w:t>
            </w:r>
          </w:p>
        </w:tc>
        <w:tc>
          <w:tcPr>
            <w:tcW w:w="767" w:type="dxa"/>
            <w:vAlign w:val="top"/>
            <w:vMerge w:val="restart"/>
            <w:tcBorders>
              <w:bottom w:val="nil"/>
            </w:tcBorders>
          </w:tcPr>
          <w:p>
            <w:pPr>
              <w:pStyle w:val="TableText"/>
              <w:ind w:left="193" w:right="36" w:hanging="184"/>
              <w:spacing w:before="202" w:line="214" w:lineRule="auto"/>
              <w:rPr/>
            </w:pPr>
            <w:r>
              <w:rPr>
                <w:color w:val="212529"/>
                <w:spacing w:val="-3"/>
              </w:rPr>
              <w:t>上级补助</w:t>
            </w:r>
            <w:r>
              <w:rPr>
                <w:color w:val="212529"/>
                <w:spacing w:val="1"/>
              </w:rPr>
              <w:t xml:space="preserve"> </w:t>
            </w:r>
            <w:r>
              <w:rPr>
                <w:color w:val="212529"/>
                <w:spacing w:val="-8"/>
              </w:rPr>
              <w:t>收入</w:t>
            </w:r>
          </w:p>
        </w:tc>
        <w:tc>
          <w:tcPr>
            <w:tcW w:w="875" w:type="dxa"/>
            <w:vAlign w:val="top"/>
            <w:vMerge w:val="restart"/>
            <w:tcBorders>
              <w:bottom w:val="nil"/>
            </w:tcBorders>
          </w:tcPr>
          <w:p>
            <w:pPr>
              <w:pStyle w:val="TableText"/>
              <w:ind w:left="63"/>
              <w:spacing w:before="298" w:line="219" w:lineRule="auto"/>
              <w:rPr/>
            </w:pPr>
            <w:r>
              <w:rPr>
                <w:color w:val="212529"/>
                <w:spacing w:val="-3"/>
              </w:rPr>
              <w:t>事业收入</w:t>
            </w:r>
          </w:p>
        </w:tc>
        <w:tc>
          <w:tcPr>
            <w:tcW w:w="935" w:type="dxa"/>
            <w:vAlign w:val="top"/>
            <w:vMerge w:val="restart"/>
            <w:tcBorders>
              <w:bottom w:val="nil"/>
            </w:tcBorders>
          </w:tcPr>
          <w:p>
            <w:pPr>
              <w:pStyle w:val="TableText"/>
              <w:ind w:left="96"/>
              <w:spacing w:before="298" w:line="219" w:lineRule="auto"/>
              <w:rPr/>
            </w:pPr>
            <w:r>
              <w:rPr>
                <w:color w:val="212529"/>
                <w:spacing w:val="-3"/>
              </w:rPr>
              <w:t>经营收入</w:t>
            </w:r>
          </w:p>
        </w:tc>
        <w:tc>
          <w:tcPr>
            <w:tcW w:w="744" w:type="dxa"/>
            <w:vAlign w:val="top"/>
            <w:vMerge w:val="restart"/>
            <w:tcBorders>
              <w:bottom w:val="nil"/>
            </w:tcBorders>
          </w:tcPr>
          <w:p>
            <w:pPr>
              <w:pStyle w:val="TableText"/>
              <w:ind w:left="104"/>
              <w:spacing w:line="206" w:lineRule="auto"/>
              <w:rPr/>
            </w:pPr>
            <w:r>
              <w:rPr>
                <w:color w:val="212529"/>
                <w:spacing w:val="-8"/>
              </w:rPr>
              <w:t>附属单</w:t>
            </w:r>
          </w:p>
          <w:p>
            <w:pPr>
              <w:pStyle w:val="TableText"/>
              <w:ind w:left="270"/>
              <w:spacing w:line="209" w:lineRule="auto"/>
              <w:rPr/>
            </w:pPr>
            <w:r>
              <w:rPr>
                <w:color w:val="212529"/>
              </w:rPr>
              <w:t>位</w:t>
            </w:r>
          </w:p>
          <w:p>
            <w:pPr>
              <w:pStyle w:val="TableText"/>
              <w:ind w:left="91"/>
              <w:spacing w:line="209" w:lineRule="auto"/>
              <w:rPr/>
            </w:pPr>
            <w:r>
              <w:rPr>
                <w:color w:val="212529"/>
                <w:spacing w:val="-4"/>
              </w:rPr>
              <w:t>上缴收</w:t>
            </w:r>
          </w:p>
          <w:p>
            <w:pPr>
              <w:pStyle w:val="TableText"/>
              <w:ind w:left="269"/>
              <w:spacing w:line="202" w:lineRule="auto"/>
              <w:rPr/>
            </w:pPr>
            <w:r>
              <w:rPr>
                <w:color w:val="212529"/>
              </w:rPr>
              <w:t>入</w:t>
            </w:r>
          </w:p>
        </w:tc>
        <w:tc>
          <w:tcPr>
            <w:tcW w:w="773" w:type="dxa"/>
            <w:vAlign w:val="top"/>
            <w:vMerge w:val="restart"/>
            <w:tcBorders>
              <w:bottom w:val="nil"/>
            </w:tcBorders>
          </w:tcPr>
          <w:p>
            <w:pPr>
              <w:pStyle w:val="TableText"/>
              <w:ind w:left="13"/>
              <w:spacing w:before="298" w:line="219" w:lineRule="auto"/>
              <w:rPr/>
            </w:pPr>
            <w:r>
              <w:rPr>
                <w:color w:val="212529"/>
                <w:spacing w:val="-3"/>
              </w:rPr>
              <w:t>其他收入</w:t>
            </w:r>
          </w:p>
        </w:tc>
      </w:tr>
      <w:tr>
        <w:trPr>
          <w:trHeight w:val="481" w:hRule="atLeast"/>
        </w:trPr>
        <w:tc>
          <w:tcPr>
            <w:tcW w:w="1445" w:type="dxa"/>
            <w:vAlign w:val="top"/>
          </w:tcPr>
          <w:p>
            <w:pPr>
              <w:pStyle w:val="TableText"/>
              <w:ind w:left="345"/>
              <w:spacing w:before="129" w:line="219" w:lineRule="auto"/>
              <w:rPr/>
            </w:pPr>
            <w:r>
              <w:rPr>
                <w:color w:val="212529"/>
                <w:spacing w:val="-3"/>
              </w:rPr>
              <w:t>科目代码</w:t>
            </w:r>
          </w:p>
        </w:tc>
        <w:tc>
          <w:tcPr>
            <w:tcW w:w="1115" w:type="dxa"/>
            <w:vAlign w:val="top"/>
          </w:tcPr>
          <w:p>
            <w:pPr>
              <w:pStyle w:val="TableText"/>
              <w:ind w:left="178"/>
              <w:spacing w:before="129"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875"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744" w:type="dxa"/>
            <w:vAlign w:val="top"/>
            <w:vMerge w:val="continue"/>
            <w:tcBorders>
              <w:top w:val="nil"/>
            </w:tcBorders>
          </w:tcPr>
          <w:p>
            <w:pPr>
              <w:rPr>
                <w:rFonts w:ascii="Arial"/>
                <w:sz w:val="21"/>
              </w:rPr>
            </w:pPr>
            <w:r/>
          </w:p>
        </w:tc>
        <w:tc>
          <w:tcPr>
            <w:tcW w:w="773" w:type="dxa"/>
            <w:vAlign w:val="top"/>
            <w:vMerge w:val="continue"/>
            <w:tcBorders>
              <w:top w:val="nil"/>
            </w:tcBorders>
          </w:tcPr>
          <w:p>
            <w:pPr>
              <w:rPr>
                <w:rFonts w:ascii="Arial"/>
                <w:sz w:val="21"/>
              </w:rPr>
            </w:pPr>
            <w:r/>
          </w:p>
        </w:tc>
      </w:tr>
      <w:tr>
        <w:trPr>
          <w:trHeight w:val="326" w:hRule="atLeast"/>
        </w:trPr>
        <w:tc>
          <w:tcPr>
            <w:tcW w:w="2560" w:type="dxa"/>
            <w:vAlign w:val="top"/>
            <w:gridSpan w:val="2"/>
          </w:tcPr>
          <w:p>
            <w:pPr>
              <w:ind w:left="107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247" w:type="dxa"/>
            <w:vAlign w:val="top"/>
          </w:tcPr>
          <w:p>
            <w:pPr>
              <w:ind w:left="569"/>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115" w:type="dxa"/>
            <w:vAlign w:val="top"/>
          </w:tcPr>
          <w:p>
            <w:pPr>
              <w:ind w:left="497"/>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67" w:type="dxa"/>
            <w:vAlign w:val="top"/>
          </w:tcPr>
          <w:p>
            <w:pPr>
              <w:ind w:left="324"/>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75" w:type="dxa"/>
            <w:vAlign w:val="top"/>
          </w:tcPr>
          <w:p>
            <w:pPr>
              <w:ind w:left="379"/>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44" w:type="dxa"/>
            <w:vAlign w:val="top"/>
          </w:tcPr>
          <w:p>
            <w:pPr>
              <w:ind w:left="316"/>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73" w:type="dxa"/>
            <w:vAlign w:val="top"/>
          </w:tcPr>
          <w:p>
            <w:pPr>
              <w:ind w:left="328"/>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560" w:type="dxa"/>
            <w:vAlign w:val="top"/>
            <w:gridSpan w:val="2"/>
          </w:tcPr>
          <w:p>
            <w:pPr>
              <w:ind w:left="1079"/>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47" w:type="dxa"/>
            <w:vAlign w:val="top"/>
          </w:tcPr>
          <w:p>
            <w:pPr>
              <w:pStyle w:val="TableText"/>
              <w:ind w:right="26"/>
              <w:spacing w:before="87" w:line="183" w:lineRule="auto"/>
              <w:jc w:val="right"/>
              <w:rPr/>
            </w:pPr>
            <w:r>
              <w:rPr>
                <w:color w:val="212529"/>
                <w:spacing w:val="-2"/>
              </w:rPr>
              <w:t>309.29</w:t>
            </w:r>
          </w:p>
        </w:tc>
        <w:tc>
          <w:tcPr>
            <w:tcW w:w="1115" w:type="dxa"/>
            <w:vAlign w:val="top"/>
          </w:tcPr>
          <w:p>
            <w:pPr>
              <w:pStyle w:val="TableText"/>
              <w:ind w:right="25"/>
              <w:spacing w:before="87" w:line="183" w:lineRule="auto"/>
              <w:jc w:val="right"/>
              <w:rPr/>
            </w:pPr>
            <w:r>
              <w:rPr>
                <w:color w:val="212529"/>
                <w:spacing w:val="-2"/>
              </w:rPr>
              <w:t>309.29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2" w:line="184" w:lineRule="auto"/>
              <w:rPr/>
            </w:pPr>
            <w:r>
              <w:rPr>
                <w:color w:val="212529"/>
                <w:spacing w:val="-4"/>
              </w:rPr>
              <w:t>201</w:t>
            </w:r>
          </w:p>
        </w:tc>
        <w:tc>
          <w:tcPr>
            <w:tcW w:w="1115" w:type="dxa"/>
            <w:vAlign w:val="top"/>
          </w:tcPr>
          <w:p>
            <w:pPr>
              <w:pStyle w:val="TableText"/>
              <w:ind w:left="5" w:right="28" w:firstLine="2"/>
              <w:spacing w:before="1" w:line="204" w:lineRule="auto"/>
              <w:rPr/>
            </w:pPr>
            <w:r>
              <w:rPr>
                <w:color w:val="212529"/>
                <w:spacing w:val="-2"/>
              </w:rPr>
              <w:t>一般公共服务</w:t>
            </w:r>
            <w:r>
              <w:rPr>
                <w:color w:val="212529"/>
              </w:rPr>
              <w:t xml:space="preserve"> </w:t>
            </w:r>
            <w:r>
              <w:rPr>
                <w:color w:val="212529"/>
                <w:spacing w:val="-5"/>
              </w:rPr>
              <w:t>支出</w:t>
            </w:r>
          </w:p>
        </w:tc>
        <w:tc>
          <w:tcPr>
            <w:tcW w:w="1247" w:type="dxa"/>
            <w:vAlign w:val="top"/>
          </w:tcPr>
          <w:p>
            <w:pPr>
              <w:pStyle w:val="TableText"/>
              <w:ind w:right="26"/>
              <w:spacing w:before="123" w:line="183" w:lineRule="auto"/>
              <w:jc w:val="right"/>
              <w:rPr/>
            </w:pPr>
            <w:r>
              <w:rPr>
                <w:color w:val="212529"/>
                <w:spacing w:val="-2"/>
              </w:rPr>
              <w:t>264.07</w:t>
            </w:r>
          </w:p>
        </w:tc>
        <w:tc>
          <w:tcPr>
            <w:tcW w:w="1115" w:type="dxa"/>
            <w:vAlign w:val="top"/>
          </w:tcPr>
          <w:p>
            <w:pPr>
              <w:pStyle w:val="TableText"/>
              <w:ind w:right="25"/>
              <w:spacing w:before="123" w:line="183" w:lineRule="auto"/>
              <w:jc w:val="right"/>
              <w:rPr/>
            </w:pPr>
            <w:r>
              <w:rPr>
                <w:color w:val="212529"/>
                <w:spacing w:val="-2"/>
              </w:rPr>
              <w:t>264.07</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7" w:line="184" w:lineRule="auto"/>
              <w:rPr/>
            </w:pPr>
            <w:r>
              <w:rPr>
                <w:color w:val="212529"/>
                <w:spacing w:val="-2"/>
              </w:rPr>
              <w:t>20133</w:t>
            </w:r>
          </w:p>
        </w:tc>
        <w:tc>
          <w:tcPr>
            <w:tcW w:w="1115" w:type="dxa"/>
            <w:vAlign w:val="top"/>
          </w:tcPr>
          <w:p>
            <w:pPr>
              <w:pStyle w:val="TableText"/>
              <w:ind w:left="7"/>
              <w:spacing w:before="59" w:line="219" w:lineRule="auto"/>
              <w:rPr/>
            </w:pPr>
            <w:r>
              <w:rPr>
                <w:color w:val="212529"/>
                <w:spacing w:val="-3"/>
              </w:rPr>
              <w:t>宣传事务</w:t>
            </w:r>
          </w:p>
        </w:tc>
        <w:tc>
          <w:tcPr>
            <w:tcW w:w="1247" w:type="dxa"/>
            <w:vAlign w:val="top"/>
          </w:tcPr>
          <w:p>
            <w:pPr>
              <w:pStyle w:val="TableText"/>
              <w:ind w:right="26"/>
              <w:spacing w:before="88" w:line="183" w:lineRule="auto"/>
              <w:jc w:val="right"/>
              <w:rPr/>
            </w:pPr>
            <w:r>
              <w:rPr>
                <w:color w:val="212529"/>
                <w:spacing w:val="-2"/>
              </w:rPr>
              <w:t>264.07</w:t>
            </w:r>
          </w:p>
        </w:tc>
        <w:tc>
          <w:tcPr>
            <w:tcW w:w="1115" w:type="dxa"/>
            <w:vAlign w:val="top"/>
          </w:tcPr>
          <w:p>
            <w:pPr>
              <w:pStyle w:val="TableText"/>
              <w:ind w:right="25"/>
              <w:spacing w:before="88" w:line="183" w:lineRule="auto"/>
              <w:jc w:val="right"/>
              <w:rPr/>
            </w:pPr>
            <w:r>
              <w:rPr>
                <w:color w:val="212529"/>
                <w:spacing w:val="-2"/>
              </w:rPr>
              <w:t>264.07</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8" w:line="184" w:lineRule="auto"/>
              <w:rPr/>
            </w:pPr>
            <w:r>
              <w:rPr>
                <w:color w:val="212529"/>
                <w:spacing w:val="-2"/>
              </w:rPr>
              <w:t>2013301</w:t>
            </w:r>
          </w:p>
        </w:tc>
        <w:tc>
          <w:tcPr>
            <w:tcW w:w="1115" w:type="dxa"/>
            <w:vAlign w:val="top"/>
          </w:tcPr>
          <w:p>
            <w:pPr>
              <w:pStyle w:val="TableText"/>
              <w:ind w:left="7"/>
              <w:spacing w:before="60" w:line="220" w:lineRule="auto"/>
              <w:rPr/>
            </w:pPr>
            <w:r>
              <w:rPr>
                <w:color w:val="212529"/>
                <w:spacing w:val="-3"/>
              </w:rPr>
              <w:t>行政运行</w:t>
            </w:r>
          </w:p>
        </w:tc>
        <w:tc>
          <w:tcPr>
            <w:tcW w:w="1247" w:type="dxa"/>
            <w:vAlign w:val="top"/>
          </w:tcPr>
          <w:p>
            <w:pPr>
              <w:pStyle w:val="TableText"/>
              <w:ind w:right="26"/>
              <w:spacing w:before="87" w:line="184" w:lineRule="auto"/>
              <w:jc w:val="right"/>
              <w:rPr/>
            </w:pPr>
            <w:r>
              <w:rPr>
                <w:color w:val="212529"/>
                <w:spacing w:val="-2"/>
              </w:rPr>
              <w:t>241.86</w:t>
            </w:r>
          </w:p>
        </w:tc>
        <w:tc>
          <w:tcPr>
            <w:tcW w:w="1115" w:type="dxa"/>
            <w:vAlign w:val="top"/>
          </w:tcPr>
          <w:p>
            <w:pPr>
              <w:pStyle w:val="TableText"/>
              <w:ind w:right="25"/>
              <w:spacing w:before="87" w:line="184" w:lineRule="auto"/>
              <w:jc w:val="right"/>
              <w:rPr/>
            </w:pPr>
            <w:r>
              <w:rPr>
                <w:color w:val="212529"/>
                <w:spacing w:val="-2"/>
              </w:rPr>
              <w:t>241.86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8" w:line="184" w:lineRule="auto"/>
              <w:rPr/>
            </w:pPr>
            <w:r>
              <w:rPr>
                <w:color w:val="212529"/>
                <w:spacing w:val="-2"/>
              </w:rPr>
              <w:t>2013350</w:t>
            </w:r>
          </w:p>
        </w:tc>
        <w:tc>
          <w:tcPr>
            <w:tcW w:w="1115" w:type="dxa"/>
            <w:vAlign w:val="top"/>
          </w:tcPr>
          <w:p>
            <w:pPr>
              <w:pStyle w:val="TableText"/>
              <w:ind w:left="4"/>
              <w:spacing w:before="60" w:line="220" w:lineRule="auto"/>
              <w:rPr/>
            </w:pPr>
            <w:r>
              <w:rPr>
                <w:color w:val="212529"/>
                <w:spacing w:val="-3"/>
              </w:rPr>
              <w:t>事业运行</w:t>
            </w:r>
          </w:p>
        </w:tc>
        <w:tc>
          <w:tcPr>
            <w:tcW w:w="1247" w:type="dxa"/>
            <w:vAlign w:val="top"/>
          </w:tcPr>
          <w:p>
            <w:pPr>
              <w:pStyle w:val="TableText"/>
              <w:ind w:left="764"/>
              <w:spacing w:before="88" w:line="183" w:lineRule="auto"/>
              <w:rPr/>
            </w:pPr>
            <w:r>
              <w:rPr>
                <w:color w:val="212529"/>
                <w:spacing w:val="-2"/>
              </w:rPr>
              <w:t>22.20</w:t>
            </w:r>
          </w:p>
        </w:tc>
        <w:tc>
          <w:tcPr>
            <w:tcW w:w="1115" w:type="dxa"/>
            <w:vAlign w:val="top"/>
          </w:tcPr>
          <w:p>
            <w:pPr>
              <w:pStyle w:val="TableText"/>
              <w:ind w:left="633"/>
              <w:spacing w:before="88" w:line="183" w:lineRule="auto"/>
              <w:rPr/>
            </w:pPr>
            <w:r>
              <w:rPr>
                <w:color w:val="212529"/>
                <w:spacing w:val="-2"/>
              </w:rPr>
              <w:t>22.20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5" w:line="183" w:lineRule="auto"/>
              <w:rPr/>
            </w:pPr>
            <w:r>
              <w:rPr>
                <w:color w:val="212529"/>
                <w:spacing w:val="-4"/>
              </w:rPr>
              <w:t>207</w:t>
            </w:r>
          </w:p>
        </w:tc>
        <w:tc>
          <w:tcPr>
            <w:tcW w:w="1115" w:type="dxa"/>
            <w:vAlign w:val="top"/>
          </w:tcPr>
          <w:p>
            <w:pPr>
              <w:pStyle w:val="TableText"/>
              <w:ind w:left="7" w:right="28" w:hanging="2"/>
              <w:spacing w:before="1" w:line="204" w:lineRule="auto"/>
              <w:rPr/>
            </w:pPr>
            <w:r>
              <w:rPr>
                <w:color w:val="212529"/>
                <w:spacing w:val="-2"/>
              </w:rPr>
              <w:t>文化旅游体育</w:t>
            </w:r>
            <w:r>
              <w:rPr>
                <w:color w:val="212529"/>
                <w:spacing w:val="1"/>
              </w:rPr>
              <w:t xml:space="preserve"> </w:t>
            </w:r>
            <w:r>
              <w:rPr>
                <w:color w:val="212529"/>
                <w:spacing w:val="-3"/>
              </w:rPr>
              <w:t>与传媒支出</w:t>
            </w:r>
          </w:p>
        </w:tc>
        <w:tc>
          <w:tcPr>
            <w:tcW w:w="1247" w:type="dxa"/>
            <w:vAlign w:val="top"/>
          </w:tcPr>
          <w:p>
            <w:pPr>
              <w:pStyle w:val="TableText"/>
              <w:ind w:left="775"/>
              <w:spacing w:before="124" w:line="184" w:lineRule="auto"/>
              <w:rPr/>
            </w:pPr>
            <w:r>
              <w:rPr>
                <w:color w:val="212529"/>
                <w:spacing w:val="-5"/>
              </w:rPr>
              <w:t>12.41</w:t>
            </w:r>
          </w:p>
        </w:tc>
        <w:tc>
          <w:tcPr>
            <w:tcW w:w="1115" w:type="dxa"/>
            <w:vAlign w:val="top"/>
          </w:tcPr>
          <w:p>
            <w:pPr>
              <w:pStyle w:val="TableText"/>
              <w:ind w:left="644"/>
              <w:spacing w:before="124" w:line="184" w:lineRule="auto"/>
              <w:rPr/>
            </w:pPr>
            <w:r>
              <w:rPr>
                <w:color w:val="212529"/>
                <w:spacing w:val="-5"/>
              </w:rPr>
              <w:t>12.41</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4" w:line="183" w:lineRule="auto"/>
              <w:rPr/>
            </w:pPr>
            <w:r>
              <w:rPr>
                <w:color w:val="212529"/>
                <w:spacing w:val="-2"/>
              </w:rPr>
              <w:t>20799</w:t>
            </w:r>
          </w:p>
        </w:tc>
        <w:tc>
          <w:tcPr>
            <w:tcW w:w="1115" w:type="dxa"/>
            <w:vAlign w:val="top"/>
          </w:tcPr>
          <w:p>
            <w:pPr>
              <w:pStyle w:val="TableText"/>
              <w:ind w:left="4" w:right="28"/>
              <w:spacing w:line="206"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47" w:type="dxa"/>
            <w:vAlign w:val="top"/>
          </w:tcPr>
          <w:p>
            <w:pPr>
              <w:pStyle w:val="TableText"/>
              <w:ind w:left="775"/>
              <w:spacing w:before="233" w:line="184" w:lineRule="auto"/>
              <w:rPr/>
            </w:pPr>
            <w:r>
              <w:rPr>
                <w:color w:val="212529"/>
                <w:spacing w:val="-5"/>
              </w:rPr>
              <w:t>12.41</w:t>
            </w:r>
          </w:p>
        </w:tc>
        <w:tc>
          <w:tcPr>
            <w:tcW w:w="1115" w:type="dxa"/>
            <w:vAlign w:val="top"/>
          </w:tcPr>
          <w:p>
            <w:pPr>
              <w:pStyle w:val="TableText"/>
              <w:ind w:left="644"/>
              <w:spacing w:before="233" w:line="184" w:lineRule="auto"/>
              <w:rPr/>
            </w:pPr>
            <w:r>
              <w:rPr>
                <w:color w:val="212529"/>
                <w:spacing w:val="-5"/>
              </w:rPr>
              <w:t>12.41</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5" w:line="183" w:lineRule="auto"/>
              <w:rPr/>
            </w:pPr>
            <w:r>
              <w:rPr>
                <w:color w:val="212529"/>
                <w:spacing w:val="-2"/>
              </w:rPr>
              <w:t>2079999</w:t>
            </w:r>
          </w:p>
        </w:tc>
        <w:tc>
          <w:tcPr>
            <w:tcW w:w="1115" w:type="dxa"/>
            <w:vAlign w:val="top"/>
          </w:tcPr>
          <w:p>
            <w:pPr>
              <w:pStyle w:val="TableText"/>
              <w:ind w:left="4" w:right="28"/>
              <w:spacing w:before="3" w:line="205"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47" w:type="dxa"/>
            <w:vAlign w:val="top"/>
          </w:tcPr>
          <w:p>
            <w:pPr>
              <w:pStyle w:val="TableText"/>
              <w:ind w:left="775"/>
              <w:spacing w:before="234" w:line="184" w:lineRule="auto"/>
              <w:rPr/>
            </w:pPr>
            <w:r>
              <w:rPr>
                <w:color w:val="212529"/>
                <w:spacing w:val="-5"/>
              </w:rPr>
              <w:t>12.41</w:t>
            </w:r>
          </w:p>
        </w:tc>
        <w:tc>
          <w:tcPr>
            <w:tcW w:w="1115" w:type="dxa"/>
            <w:vAlign w:val="top"/>
          </w:tcPr>
          <w:p>
            <w:pPr>
              <w:pStyle w:val="TableText"/>
              <w:ind w:left="644"/>
              <w:spacing w:before="234" w:line="184" w:lineRule="auto"/>
              <w:rPr/>
            </w:pPr>
            <w:r>
              <w:rPr>
                <w:color w:val="212529"/>
                <w:spacing w:val="-5"/>
              </w:rPr>
              <w:t>12.41</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8" w:line="183" w:lineRule="auto"/>
              <w:rPr/>
            </w:pPr>
            <w:r>
              <w:rPr>
                <w:color w:val="212529"/>
                <w:spacing w:val="-4"/>
              </w:rPr>
              <w:t>208</w:t>
            </w:r>
          </w:p>
        </w:tc>
        <w:tc>
          <w:tcPr>
            <w:tcW w:w="1115" w:type="dxa"/>
            <w:vAlign w:val="top"/>
          </w:tcPr>
          <w:p>
            <w:pPr>
              <w:pStyle w:val="TableText"/>
              <w:ind w:left="3" w:right="28"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247" w:type="dxa"/>
            <w:vAlign w:val="top"/>
          </w:tcPr>
          <w:p>
            <w:pPr>
              <w:pStyle w:val="TableText"/>
              <w:ind w:left="775"/>
              <w:spacing w:before="127" w:line="184" w:lineRule="auto"/>
              <w:rPr/>
            </w:pPr>
            <w:r>
              <w:rPr>
                <w:color w:val="212529"/>
                <w:spacing w:val="-5"/>
              </w:rPr>
              <w:t>18.71</w:t>
            </w:r>
          </w:p>
        </w:tc>
        <w:tc>
          <w:tcPr>
            <w:tcW w:w="1115" w:type="dxa"/>
            <w:vAlign w:val="top"/>
          </w:tcPr>
          <w:p>
            <w:pPr>
              <w:pStyle w:val="TableText"/>
              <w:ind w:left="644"/>
              <w:spacing w:before="127" w:line="184" w:lineRule="auto"/>
              <w:rPr/>
            </w:pPr>
            <w:r>
              <w:rPr>
                <w:color w:val="212529"/>
                <w:spacing w:val="-5"/>
              </w:rPr>
              <w:t>18.71</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9" w:line="183" w:lineRule="auto"/>
              <w:rPr/>
            </w:pPr>
            <w:r>
              <w:rPr>
                <w:color w:val="212529"/>
                <w:spacing w:val="-2"/>
              </w:rPr>
              <w:t>20805</w:t>
            </w:r>
          </w:p>
        </w:tc>
        <w:tc>
          <w:tcPr>
            <w:tcW w:w="1115" w:type="dxa"/>
            <w:vAlign w:val="top"/>
          </w:tcPr>
          <w:p>
            <w:pPr>
              <w:pStyle w:val="TableText"/>
              <w:ind w:left="5" w:right="28" w:firstLine="2"/>
              <w:spacing w:before="5" w:line="202" w:lineRule="auto"/>
              <w:rPr/>
            </w:pPr>
            <w:r>
              <w:rPr>
                <w:color w:val="212529"/>
                <w:spacing w:val="-2"/>
              </w:rPr>
              <w:t>行政事业单位</w:t>
            </w:r>
            <w:r>
              <w:rPr>
                <w:color w:val="212529"/>
              </w:rPr>
              <w:t xml:space="preserve"> </w:t>
            </w:r>
            <w:r>
              <w:rPr>
                <w:color w:val="212529"/>
                <w:spacing w:val="-3"/>
              </w:rPr>
              <w:t>养老支出</w:t>
            </w:r>
          </w:p>
        </w:tc>
        <w:tc>
          <w:tcPr>
            <w:tcW w:w="1247" w:type="dxa"/>
            <w:vAlign w:val="top"/>
          </w:tcPr>
          <w:p>
            <w:pPr>
              <w:pStyle w:val="TableText"/>
              <w:ind w:left="775"/>
              <w:spacing w:before="128" w:line="184" w:lineRule="auto"/>
              <w:rPr/>
            </w:pPr>
            <w:r>
              <w:rPr>
                <w:color w:val="212529"/>
                <w:spacing w:val="-5"/>
              </w:rPr>
              <w:t>18.71</w:t>
            </w:r>
          </w:p>
        </w:tc>
        <w:tc>
          <w:tcPr>
            <w:tcW w:w="1115" w:type="dxa"/>
            <w:vAlign w:val="top"/>
          </w:tcPr>
          <w:p>
            <w:pPr>
              <w:pStyle w:val="TableText"/>
              <w:ind w:left="644"/>
              <w:spacing w:before="128" w:line="184" w:lineRule="auto"/>
              <w:rPr/>
            </w:pPr>
            <w:r>
              <w:rPr>
                <w:color w:val="212529"/>
                <w:spacing w:val="-5"/>
              </w:rPr>
              <w:t>18.71</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10" w:hRule="atLeast"/>
        </w:trPr>
        <w:tc>
          <w:tcPr>
            <w:tcW w:w="1445" w:type="dxa"/>
            <w:vAlign w:val="top"/>
          </w:tcPr>
          <w:p>
            <w:pPr>
              <w:pStyle w:val="TableText"/>
              <w:ind w:left="11"/>
              <w:spacing w:before="129" w:line="184" w:lineRule="auto"/>
              <w:rPr/>
            </w:pPr>
            <w:r>
              <w:rPr>
                <w:color w:val="212529"/>
                <w:spacing w:val="-2"/>
              </w:rPr>
              <w:t>2080501</w:t>
            </w:r>
          </w:p>
        </w:tc>
        <w:tc>
          <w:tcPr>
            <w:tcW w:w="1115" w:type="dxa"/>
            <w:vAlign w:val="top"/>
          </w:tcPr>
          <w:p>
            <w:pPr>
              <w:pStyle w:val="TableText"/>
              <w:ind w:left="2" w:right="28" w:firstLine="4"/>
              <w:spacing w:before="6" w:line="202" w:lineRule="auto"/>
              <w:rPr/>
            </w:pPr>
            <w:r>
              <w:rPr>
                <w:color w:val="212529"/>
                <w:spacing w:val="-2"/>
              </w:rPr>
              <w:t>行政单位离退</w:t>
            </w:r>
            <w:r>
              <w:rPr>
                <w:color w:val="212529"/>
              </w:rPr>
              <w:t xml:space="preserve"> </w:t>
            </w:r>
            <w:r>
              <w:rPr>
                <w:color w:val="212529"/>
              </w:rPr>
              <w:t>休</w:t>
            </w:r>
          </w:p>
        </w:tc>
        <w:tc>
          <w:tcPr>
            <w:tcW w:w="1247" w:type="dxa"/>
            <w:vAlign w:val="top"/>
          </w:tcPr>
          <w:p>
            <w:pPr>
              <w:pStyle w:val="TableText"/>
              <w:ind w:right="26"/>
              <w:spacing w:before="130" w:line="183" w:lineRule="auto"/>
              <w:jc w:val="right"/>
              <w:rPr/>
            </w:pPr>
            <w:r>
              <w:rPr>
                <w:color w:val="212529"/>
                <w:spacing w:val="-3"/>
              </w:rPr>
              <w:t>6.35</w:t>
            </w:r>
          </w:p>
        </w:tc>
        <w:tc>
          <w:tcPr>
            <w:tcW w:w="1115" w:type="dxa"/>
            <w:vAlign w:val="top"/>
          </w:tcPr>
          <w:p>
            <w:pPr>
              <w:pStyle w:val="TableText"/>
              <w:ind w:right="25"/>
              <w:spacing w:before="130" w:line="183" w:lineRule="auto"/>
              <w:jc w:val="right"/>
              <w:rPr/>
            </w:pPr>
            <w:r>
              <w:rPr>
                <w:color w:val="212529"/>
                <w:spacing w:val="-3"/>
              </w:rPr>
              <w:t>6.35</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9" w:line="183" w:lineRule="auto"/>
              <w:rPr/>
            </w:pPr>
            <w:r>
              <w:rPr>
                <w:color w:val="212529"/>
                <w:spacing w:val="-2"/>
              </w:rPr>
              <w:t>2080505</w:t>
            </w:r>
          </w:p>
        </w:tc>
        <w:tc>
          <w:tcPr>
            <w:tcW w:w="1115" w:type="dxa"/>
            <w:vAlign w:val="top"/>
          </w:tcPr>
          <w:p>
            <w:pPr>
              <w:pStyle w:val="TableText"/>
              <w:ind w:left="2" w:right="28"/>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pPr>
              <w:pStyle w:val="TableText"/>
              <w:ind w:left="775"/>
              <w:spacing w:before="237" w:line="184" w:lineRule="auto"/>
              <w:rPr/>
            </w:pPr>
            <w:r>
              <w:rPr>
                <w:color w:val="212529"/>
                <w:spacing w:val="-5"/>
              </w:rPr>
              <w:t>12.36</w:t>
            </w:r>
          </w:p>
        </w:tc>
        <w:tc>
          <w:tcPr>
            <w:tcW w:w="1115" w:type="dxa"/>
            <w:vAlign w:val="top"/>
          </w:tcPr>
          <w:p>
            <w:pPr>
              <w:pStyle w:val="TableText"/>
              <w:ind w:left="644"/>
              <w:spacing w:before="237" w:line="184" w:lineRule="auto"/>
              <w:rPr/>
            </w:pPr>
            <w:r>
              <w:rPr>
                <w:color w:val="212529"/>
                <w:spacing w:val="-5"/>
              </w:rPr>
              <w:t>12.36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4"/>
              </w:rPr>
              <w:t>221</w:t>
            </w:r>
          </w:p>
        </w:tc>
        <w:tc>
          <w:tcPr>
            <w:tcW w:w="1115" w:type="dxa"/>
            <w:vAlign w:val="top"/>
          </w:tcPr>
          <w:p>
            <w:pPr>
              <w:pStyle w:val="TableText"/>
              <w:ind w:left="3"/>
              <w:spacing w:before="67" w:line="219" w:lineRule="auto"/>
              <w:rPr/>
            </w:pPr>
            <w:r>
              <w:rPr>
                <w:color w:val="212529"/>
                <w:spacing w:val="-2"/>
              </w:rPr>
              <w:t>住房保障支出</w:t>
            </w:r>
          </w:p>
        </w:tc>
        <w:tc>
          <w:tcPr>
            <w:tcW w:w="1247" w:type="dxa"/>
            <w:vAlign w:val="top"/>
          </w:tcPr>
          <w:p>
            <w:pPr>
              <w:pStyle w:val="TableText"/>
              <w:ind w:left="775"/>
              <w:spacing w:before="95" w:line="184" w:lineRule="auto"/>
              <w:rPr/>
            </w:pPr>
            <w:r>
              <w:rPr>
                <w:color w:val="212529"/>
                <w:spacing w:val="-5"/>
              </w:rPr>
              <w:t>13.14</w:t>
            </w:r>
          </w:p>
        </w:tc>
        <w:tc>
          <w:tcPr>
            <w:tcW w:w="1115" w:type="dxa"/>
            <w:vAlign w:val="top"/>
          </w:tcPr>
          <w:p>
            <w:pPr>
              <w:pStyle w:val="TableText"/>
              <w:ind w:left="644"/>
              <w:spacing w:before="95" w:line="184" w:lineRule="auto"/>
              <w:rPr/>
            </w:pPr>
            <w:r>
              <w:rPr>
                <w:color w:val="212529"/>
                <w:spacing w:val="-5"/>
              </w:rPr>
              <w:t>13.14</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2"/>
              </w:rPr>
              <w:t>22102</w:t>
            </w:r>
          </w:p>
        </w:tc>
        <w:tc>
          <w:tcPr>
            <w:tcW w:w="1115" w:type="dxa"/>
            <w:vAlign w:val="top"/>
          </w:tcPr>
          <w:p>
            <w:pPr>
              <w:pStyle w:val="TableText"/>
              <w:ind w:left="3"/>
              <w:spacing w:before="67" w:line="219" w:lineRule="auto"/>
              <w:rPr/>
            </w:pPr>
            <w:r>
              <w:rPr>
                <w:color w:val="212529"/>
                <w:spacing w:val="-2"/>
              </w:rPr>
              <w:t>住房改革支出</w:t>
            </w:r>
          </w:p>
        </w:tc>
        <w:tc>
          <w:tcPr>
            <w:tcW w:w="1247" w:type="dxa"/>
            <w:vAlign w:val="top"/>
          </w:tcPr>
          <w:p>
            <w:pPr>
              <w:pStyle w:val="TableText"/>
              <w:ind w:left="775"/>
              <w:spacing w:before="95" w:line="184" w:lineRule="auto"/>
              <w:rPr/>
            </w:pPr>
            <w:r>
              <w:rPr>
                <w:color w:val="212529"/>
                <w:spacing w:val="-5"/>
              </w:rPr>
              <w:t>13.14</w:t>
            </w:r>
          </w:p>
        </w:tc>
        <w:tc>
          <w:tcPr>
            <w:tcW w:w="1115" w:type="dxa"/>
            <w:vAlign w:val="top"/>
          </w:tcPr>
          <w:p>
            <w:pPr>
              <w:pStyle w:val="TableText"/>
              <w:ind w:left="644"/>
              <w:spacing w:before="95" w:line="184" w:lineRule="auto"/>
              <w:rPr/>
            </w:pPr>
            <w:r>
              <w:rPr>
                <w:color w:val="212529"/>
                <w:spacing w:val="-5"/>
              </w:rPr>
              <w:t>13.14</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2"/>
              </w:rPr>
              <w:t>2210201</w:t>
            </w:r>
          </w:p>
        </w:tc>
        <w:tc>
          <w:tcPr>
            <w:tcW w:w="1115" w:type="dxa"/>
            <w:vAlign w:val="top"/>
          </w:tcPr>
          <w:p>
            <w:pPr>
              <w:pStyle w:val="TableText"/>
              <w:ind w:left="3"/>
              <w:spacing w:before="67" w:line="220" w:lineRule="auto"/>
              <w:rPr/>
            </w:pPr>
            <w:r>
              <w:rPr>
                <w:color w:val="212529"/>
                <w:spacing w:val="-2"/>
              </w:rPr>
              <w:t>住房公积金</w:t>
            </w:r>
          </w:p>
        </w:tc>
        <w:tc>
          <w:tcPr>
            <w:tcW w:w="1247" w:type="dxa"/>
            <w:vAlign w:val="top"/>
          </w:tcPr>
          <w:p>
            <w:pPr>
              <w:pStyle w:val="TableText"/>
              <w:ind w:left="775"/>
              <w:spacing w:before="95" w:line="184" w:lineRule="auto"/>
              <w:rPr/>
            </w:pPr>
            <w:r>
              <w:rPr>
                <w:color w:val="212529"/>
                <w:spacing w:val="-5"/>
              </w:rPr>
              <w:t>13.14</w:t>
            </w:r>
          </w:p>
        </w:tc>
        <w:tc>
          <w:tcPr>
            <w:tcW w:w="1115" w:type="dxa"/>
            <w:vAlign w:val="top"/>
          </w:tcPr>
          <w:p>
            <w:pPr>
              <w:pStyle w:val="TableText"/>
              <w:ind w:left="644"/>
              <w:spacing w:before="95" w:line="184" w:lineRule="auto"/>
              <w:rPr/>
            </w:pPr>
            <w:r>
              <w:rPr>
                <w:color w:val="212529"/>
                <w:spacing w:val="-5"/>
              </w:rPr>
              <w:t>13.14</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4"/>
              </w:rPr>
              <w:t>229</w:t>
            </w:r>
          </w:p>
        </w:tc>
        <w:tc>
          <w:tcPr>
            <w:tcW w:w="1115" w:type="dxa"/>
            <w:vAlign w:val="top"/>
          </w:tcPr>
          <w:p>
            <w:pPr>
              <w:pStyle w:val="TableText"/>
              <w:ind w:left="5"/>
              <w:spacing w:before="67"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0.96</w:t>
            </w:r>
          </w:p>
        </w:tc>
        <w:tc>
          <w:tcPr>
            <w:tcW w:w="1115" w:type="dxa"/>
            <w:vAlign w:val="top"/>
          </w:tcPr>
          <w:p>
            <w:pPr>
              <w:pStyle w:val="TableText"/>
              <w:ind w:right="25"/>
              <w:spacing w:before="96" w:line="183" w:lineRule="auto"/>
              <w:jc w:val="right"/>
              <w:rPr/>
            </w:pPr>
            <w:r>
              <w:rPr>
                <w:color w:val="212529"/>
                <w:spacing w:val="-3"/>
              </w:rPr>
              <w:t>0.96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2"/>
              </w:rPr>
              <w:t>22999</w:t>
            </w:r>
          </w:p>
        </w:tc>
        <w:tc>
          <w:tcPr>
            <w:tcW w:w="1115" w:type="dxa"/>
            <w:vAlign w:val="top"/>
          </w:tcPr>
          <w:p>
            <w:pPr>
              <w:pStyle w:val="TableText"/>
              <w:ind w:left="5"/>
              <w:spacing w:before="67"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0.96</w:t>
            </w:r>
          </w:p>
        </w:tc>
        <w:tc>
          <w:tcPr>
            <w:tcW w:w="1115" w:type="dxa"/>
            <w:vAlign w:val="top"/>
          </w:tcPr>
          <w:p>
            <w:pPr>
              <w:pStyle w:val="TableText"/>
              <w:ind w:right="25"/>
              <w:spacing w:before="96" w:line="183" w:lineRule="auto"/>
              <w:jc w:val="right"/>
              <w:rPr/>
            </w:pPr>
            <w:r>
              <w:rPr>
                <w:color w:val="212529"/>
                <w:spacing w:val="-3"/>
              </w:rPr>
              <w:t>0.96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6" w:line="183" w:lineRule="auto"/>
              <w:rPr/>
            </w:pPr>
            <w:r>
              <w:rPr>
                <w:color w:val="212529"/>
                <w:spacing w:val="-2"/>
              </w:rPr>
              <w:t>2299999</w:t>
            </w:r>
          </w:p>
        </w:tc>
        <w:tc>
          <w:tcPr>
            <w:tcW w:w="1115" w:type="dxa"/>
            <w:vAlign w:val="top"/>
          </w:tcPr>
          <w:p>
            <w:pPr>
              <w:pStyle w:val="TableText"/>
              <w:ind w:left="5"/>
              <w:spacing w:before="68" w:line="220" w:lineRule="auto"/>
              <w:rPr/>
            </w:pPr>
            <w:r>
              <w:rPr>
                <w:color w:val="212529"/>
                <w:spacing w:val="-3"/>
              </w:rPr>
              <w:t>其他支出</w:t>
            </w:r>
          </w:p>
        </w:tc>
        <w:tc>
          <w:tcPr>
            <w:tcW w:w="1247" w:type="dxa"/>
            <w:vAlign w:val="top"/>
          </w:tcPr>
          <w:p>
            <w:pPr>
              <w:pStyle w:val="TableText"/>
              <w:ind w:right="26"/>
              <w:spacing w:before="96" w:line="183" w:lineRule="auto"/>
              <w:jc w:val="right"/>
              <w:rPr/>
            </w:pPr>
            <w:r>
              <w:rPr>
                <w:color w:val="212529"/>
                <w:spacing w:val="-3"/>
              </w:rPr>
              <w:t>0.96</w:t>
            </w:r>
          </w:p>
        </w:tc>
        <w:tc>
          <w:tcPr>
            <w:tcW w:w="1115" w:type="dxa"/>
            <w:vAlign w:val="top"/>
          </w:tcPr>
          <w:p>
            <w:pPr>
              <w:pStyle w:val="TableText"/>
              <w:ind w:right="25"/>
              <w:spacing w:before="96" w:line="183" w:lineRule="auto"/>
              <w:jc w:val="right"/>
              <w:rPr/>
            </w:pPr>
            <w:r>
              <w:rPr>
                <w:color w:val="212529"/>
                <w:spacing w:val="-3"/>
              </w:rPr>
              <w:t>0.96</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32" w:hRule="atLeast"/>
        </w:trPr>
        <w:tc>
          <w:tcPr>
            <w:tcW w:w="9016" w:type="dxa"/>
            <w:vAlign w:val="top"/>
            <w:gridSpan w:val="9"/>
            <w:tcBorders>
              <w:bottom w:val="single" w:color="FFFFFF" w:sz="4" w:space="0"/>
              <w:left w:val="single" w:color="000000" w:sz="2" w:space="0"/>
              <w:right w:val="nil"/>
            </w:tcBorders>
          </w:tcPr>
          <w:p>
            <w:pPr>
              <w:ind w:left="7"/>
              <w:spacing w:before="4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footerReference w:type="default" r:id="rId5"/>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29"/>
        <w:gridCol w:w="1223"/>
        <w:gridCol w:w="1283"/>
        <w:gridCol w:w="1283"/>
        <w:gridCol w:w="1283"/>
        <w:gridCol w:w="539"/>
        <w:gridCol w:w="935"/>
        <w:gridCol w:w="941"/>
      </w:tblGrid>
      <w:tr>
        <w:trPr>
          <w:trHeight w:val="320"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6"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52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2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3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41" w:type="dxa"/>
            <w:vAlign w:val="top"/>
            <w:tcBorders>
              <w:bottom w:val="single" w:color="FFFFFF" w:sz="4" w:space="0"/>
              <w:top w:val="single" w:color="FFFFFF" w:sz="4" w:space="0"/>
              <w:left w:val="single" w:color="FFFFFF" w:sz="2" w:space="0"/>
              <w:right w:val="single" w:color="FFFFFF" w:sz="2" w:space="0"/>
            </w:tcBorders>
          </w:tcPr>
          <w:p>
            <w:pPr>
              <w:pStyle w:val="TableText"/>
              <w:ind w:left="341"/>
              <w:spacing w:before="76" w:line="226" w:lineRule="auto"/>
              <w:rPr>
                <w:sz w:val="14"/>
                <w:szCs w:val="14"/>
              </w:rPr>
            </w:pPr>
            <w:r>
              <w:rPr>
                <w:sz w:val="14"/>
                <w:szCs w:val="14"/>
                <w:color w:val="212529"/>
              </w:rPr>
              <w:t>公开03表</w:t>
            </w:r>
          </w:p>
        </w:tc>
      </w:tr>
      <w:tr>
        <w:trPr>
          <w:trHeight w:val="314" w:hRule="atLeast"/>
        </w:trPr>
        <w:tc>
          <w:tcPr>
            <w:tcW w:w="4035" w:type="dxa"/>
            <w:vAlign w:val="top"/>
            <w:gridSpan w:val="3"/>
            <w:tcBorders>
              <w:top w:val="single" w:color="FFFFFF" w:sz="4" w:space="0"/>
              <w:left w:val="single" w:color="000000" w:sz="2" w:space="0"/>
              <w:right w:val="single" w:color="000000" w:sz="2" w:space="0"/>
            </w:tcBorders>
          </w:tcPr>
          <w:p>
            <w:pPr>
              <w:pStyle w:val="TableText"/>
              <w:ind w:left="12"/>
              <w:spacing w:before="66" w:line="226" w:lineRule="auto"/>
              <w:rPr>
                <w:sz w:val="15"/>
                <w:szCs w:val="15"/>
              </w:rPr>
            </w:pPr>
            <w:r>
              <w:rPr>
                <w:sz w:val="15"/>
                <w:szCs w:val="15"/>
                <w:color w:val="212529"/>
                <w:spacing w:val="5"/>
              </w:rPr>
              <w:t>部门名称：中国共产党古县委员会宣传部</w:t>
            </w:r>
          </w:p>
        </w:tc>
        <w:tc>
          <w:tcPr>
            <w:tcW w:w="2566" w:type="dxa"/>
            <w:vAlign w:val="top"/>
            <w:gridSpan w:val="2"/>
            <w:tcBorders>
              <w:top w:val="single" w:color="FFFFFF" w:sz="4" w:space="0"/>
              <w:left w:val="single" w:color="000000" w:sz="2" w:space="0"/>
              <w:right w:val="single" w:color="000000" w:sz="2" w:space="0"/>
            </w:tcBorders>
          </w:tcPr>
          <w:p>
            <w:pPr>
              <w:pStyle w:val="TableText"/>
              <w:ind w:left="9"/>
              <w:spacing w:before="76" w:line="225" w:lineRule="auto"/>
              <w:rPr>
                <w:sz w:val="14"/>
                <w:szCs w:val="14"/>
              </w:rPr>
            </w:pPr>
            <w:r>
              <w:rPr>
                <w:sz w:val="14"/>
                <w:szCs w:val="14"/>
                <w:color w:val="212529"/>
                <w:spacing w:val="1"/>
              </w:rPr>
              <w:t>2023年度</w:t>
            </w:r>
          </w:p>
        </w:tc>
        <w:tc>
          <w:tcPr>
            <w:tcW w:w="539" w:type="dxa"/>
            <w:vAlign w:val="top"/>
            <w:tcBorders>
              <w:top w:val="single" w:color="FFFFFF" w:sz="4" w:space="0"/>
              <w:left w:val="single" w:color="000000" w:sz="2" w:space="0"/>
              <w:right w:val="single" w:color="000000" w:sz="2" w:space="0"/>
            </w:tcBorders>
          </w:tcPr>
          <w:p>
            <w:pPr>
              <w:rPr>
                <w:rFonts w:ascii="Arial"/>
                <w:sz w:val="21"/>
              </w:rPr>
            </w:pPr>
            <w:r/>
          </w:p>
        </w:tc>
        <w:tc>
          <w:tcPr>
            <w:tcW w:w="1876" w:type="dxa"/>
            <w:vAlign w:val="top"/>
            <w:gridSpan w:val="2"/>
            <w:tcBorders>
              <w:top w:val="single" w:color="FFFFFF" w:sz="4" w:space="0"/>
              <w:left w:val="single" w:color="000000" w:sz="2" w:space="0"/>
              <w:right w:val="single" w:color="000000" w:sz="2" w:space="0"/>
            </w:tcBorders>
          </w:tcPr>
          <w:p>
            <w:pPr>
              <w:pStyle w:val="TableText"/>
              <w:ind w:left="841"/>
              <w:spacing w:before="76" w:line="225" w:lineRule="auto"/>
              <w:rPr>
                <w:sz w:val="14"/>
                <w:szCs w:val="14"/>
              </w:rPr>
            </w:pPr>
            <w:r>
              <w:rPr>
                <w:sz w:val="14"/>
                <w:szCs w:val="14"/>
                <w:color w:val="212529"/>
                <w:spacing w:val="2"/>
              </w:rPr>
              <w:t>金额单位：万元</w:t>
            </w:r>
          </w:p>
        </w:tc>
      </w:tr>
      <w:tr>
        <w:trPr>
          <w:trHeight w:val="314" w:hRule="atLeast"/>
        </w:trPr>
        <w:tc>
          <w:tcPr>
            <w:tcW w:w="2752" w:type="dxa"/>
            <w:vAlign w:val="top"/>
            <w:gridSpan w:val="2"/>
          </w:tcPr>
          <w:p>
            <w:pPr>
              <w:ind w:left="1173"/>
              <w:spacing w:before="74"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283" w:type="dxa"/>
            <w:vAlign w:val="top"/>
            <w:vMerge w:val="restart"/>
            <w:tcBorders>
              <w:bottom w:val="nil"/>
            </w:tcBorders>
          </w:tcPr>
          <w:p>
            <w:pPr>
              <w:pStyle w:val="TableText"/>
              <w:ind w:left="84"/>
              <w:spacing w:before="213" w:line="219" w:lineRule="auto"/>
              <w:rPr/>
            </w:pPr>
            <w:r>
              <w:rPr>
                <w:color w:val="212529"/>
                <w:spacing w:val="-2"/>
              </w:rPr>
              <w:t>本年支出合计</w:t>
            </w:r>
          </w:p>
        </w:tc>
        <w:tc>
          <w:tcPr>
            <w:tcW w:w="1283" w:type="dxa"/>
            <w:vAlign w:val="top"/>
            <w:vMerge w:val="restart"/>
            <w:tcBorders>
              <w:bottom w:val="nil"/>
            </w:tcBorders>
          </w:tcPr>
          <w:p>
            <w:pPr>
              <w:pStyle w:val="TableText"/>
              <w:ind w:left="265"/>
              <w:spacing w:before="213" w:line="219" w:lineRule="auto"/>
              <w:rPr/>
            </w:pPr>
            <w:r>
              <w:rPr>
                <w:color w:val="212529"/>
                <w:spacing w:val="-3"/>
              </w:rPr>
              <w:t>基本支出</w:t>
            </w:r>
          </w:p>
        </w:tc>
        <w:tc>
          <w:tcPr>
            <w:tcW w:w="1283" w:type="dxa"/>
            <w:vAlign w:val="top"/>
            <w:vMerge w:val="restart"/>
            <w:tcBorders>
              <w:bottom w:val="nil"/>
            </w:tcBorders>
          </w:tcPr>
          <w:p>
            <w:pPr>
              <w:pStyle w:val="TableText"/>
              <w:ind w:left="269"/>
              <w:spacing w:before="213" w:line="220" w:lineRule="auto"/>
              <w:rPr/>
            </w:pPr>
            <w:r>
              <w:rPr>
                <w:color w:val="212529"/>
                <w:spacing w:val="-3"/>
              </w:rPr>
              <w:t>项目支出</w:t>
            </w:r>
          </w:p>
        </w:tc>
        <w:tc>
          <w:tcPr>
            <w:tcW w:w="539" w:type="dxa"/>
            <w:vAlign w:val="top"/>
            <w:vMerge w:val="restart"/>
            <w:tcBorders>
              <w:bottom w:val="nil"/>
            </w:tcBorders>
          </w:tcPr>
          <w:p>
            <w:pPr>
              <w:pStyle w:val="TableText"/>
              <w:ind w:left="76" w:right="101"/>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35" w:type="dxa"/>
            <w:vAlign w:val="top"/>
            <w:vMerge w:val="restart"/>
            <w:tcBorders>
              <w:bottom w:val="nil"/>
            </w:tcBorders>
          </w:tcPr>
          <w:p>
            <w:pPr>
              <w:pStyle w:val="TableText"/>
              <w:ind w:left="96"/>
              <w:spacing w:before="213" w:line="220" w:lineRule="auto"/>
              <w:rPr/>
            </w:pPr>
            <w:r>
              <w:rPr>
                <w:color w:val="212529"/>
                <w:spacing w:val="-3"/>
              </w:rPr>
              <w:t>经营支出</w:t>
            </w:r>
          </w:p>
        </w:tc>
        <w:tc>
          <w:tcPr>
            <w:tcW w:w="941" w:type="dxa"/>
            <w:vAlign w:val="top"/>
            <w:vMerge w:val="restart"/>
            <w:tcBorders>
              <w:bottom w:val="nil"/>
            </w:tcBorders>
          </w:tcPr>
          <w:p>
            <w:pPr>
              <w:pStyle w:val="TableText"/>
              <w:ind w:left="275" w:right="32" w:hanging="270"/>
              <w:spacing w:before="10" w:line="209" w:lineRule="auto"/>
              <w:rPr/>
            </w:pPr>
            <w:r>
              <w:rPr>
                <w:color w:val="212529"/>
                <w:spacing w:val="-2"/>
              </w:rPr>
              <w:t>对附属单位</w:t>
            </w:r>
            <w:r>
              <w:rPr>
                <w:color w:val="212529"/>
                <w:spacing w:val="1"/>
              </w:rPr>
              <w:t xml:space="preserve"> </w:t>
            </w:r>
            <w:r>
              <w:rPr>
                <w:color w:val="212529"/>
                <w:spacing w:val="-5"/>
              </w:rPr>
              <w:t>补助</w:t>
            </w:r>
          </w:p>
          <w:p>
            <w:pPr>
              <w:pStyle w:val="TableText"/>
              <w:ind w:left="277"/>
              <w:spacing w:line="215" w:lineRule="auto"/>
              <w:rPr/>
            </w:pPr>
            <w:r>
              <w:rPr>
                <w:color w:val="212529"/>
                <w:spacing w:val="-5"/>
              </w:rPr>
              <w:t>支出</w:t>
            </w:r>
          </w:p>
        </w:tc>
      </w:tr>
      <w:tr>
        <w:trPr>
          <w:trHeight w:val="314" w:hRule="atLeast"/>
        </w:trPr>
        <w:tc>
          <w:tcPr>
            <w:tcW w:w="1529" w:type="dxa"/>
            <w:vAlign w:val="top"/>
          </w:tcPr>
          <w:p>
            <w:pPr>
              <w:pStyle w:val="TableText"/>
              <w:ind w:left="387"/>
              <w:spacing w:before="45" w:line="219" w:lineRule="auto"/>
              <w:rPr/>
            </w:pPr>
            <w:r>
              <w:rPr>
                <w:color w:val="212529"/>
                <w:spacing w:val="-3"/>
              </w:rPr>
              <w:t>科目代码</w:t>
            </w:r>
          </w:p>
        </w:tc>
        <w:tc>
          <w:tcPr>
            <w:tcW w:w="1223" w:type="dxa"/>
            <w:vAlign w:val="top"/>
          </w:tcPr>
          <w:p>
            <w:pPr>
              <w:pStyle w:val="TableText"/>
              <w:ind w:left="232"/>
              <w:spacing w:before="45" w:line="219" w:lineRule="auto"/>
              <w:rPr/>
            </w:pPr>
            <w:r>
              <w:rPr>
                <w:color w:val="212529"/>
                <w:spacing w:val="-3"/>
              </w:rPr>
              <w:t>科目名称</w:t>
            </w:r>
          </w:p>
        </w:tc>
        <w:tc>
          <w:tcPr>
            <w:tcW w:w="1283" w:type="dxa"/>
            <w:vAlign w:val="top"/>
            <w:vMerge w:val="continue"/>
            <w:tcBorders>
              <w:top w:val="nil"/>
            </w:tcBorders>
          </w:tcPr>
          <w:p>
            <w:pPr>
              <w:rPr>
                <w:rFonts w:ascii="Arial"/>
                <w:sz w:val="21"/>
              </w:rPr>
            </w:pPr>
            <w:r/>
          </w:p>
        </w:tc>
        <w:tc>
          <w:tcPr>
            <w:tcW w:w="1283" w:type="dxa"/>
            <w:vAlign w:val="top"/>
            <w:vMerge w:val="continue"/>
            <w:tcBorders>
              <w:top w:val="nil"/>
            </w:tcBorders>
          </w:tcPr>
          <w:p>
            <w:pPr>
              <w:rPr>
                <w:rFonts w:ascii="Arial"/>
                <w:sz w:val="21"/>
              </w:rPr>
            </w:pPr>
            <w:r/>
          </w:p>
        </w:tc>
        <w:tc>
          <w:tcPr>
            <w:tcW w:w="1283"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941" w:type="dxa"/>
            <w:vAlign w:val="top"/>
            <w:vMerge w:val="continue"/>
            <w:tcBorders>
              <w:top w:val="nil"/>
            </w:tcBorders>
          </w:tcPr>
          <w:p>
            <w:pPr>
              <w:rPr>
                <w:rFonts w:ascii="Arial"/>
                <w:sz w:val="21"/>
              </w:rPr>
            </w:pPr>
            <w:r/>
          </w:p>
        </w:tc>
      </w:tr>
      <w:tr>
        <w:trPr>
          <w:trHeight w:val="314" w:hRule="atLeast"/>
        </w:trPr>
        <w:tc>
          <w:tcPr>
            <w:tcW w:w="2752" w:type="dxa"/>
            <w:vAlign w:val="top"/>
            <w:gridSpan w:val="2"/>
          </w:tcPr>
          <w:p>
            <w:pPr>
              <w:pStyle w:val="TableText"/>
              <w:ind w:left="1179"/>
              <w:spacing w:before="46" w:line="219" w:lineRule="auto"/>
              <w:rPr/>
            </w:pPr>
            <w:r>
              <w:rPr>
                <w:color w:val="212529"/>
                <w:spacing w:val="-5"/>
              </w:rPr>
              <w:t>栏次</w:t>
            </w:r>
          </w:p>
        </w:tc>
        <w:tc>
          <w:tcPr>
            <w:tcW w:w="1283" w:type="dxa"/>
            <w:vAlign w:val="top"/>
          </w:tcPr>
          <w:p>
            <w:pPr>
              <w:ind w:left="587"/>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283" w:type="dxa"/>
            <w:vAlign w:val="top"/>
          </w:tcPr>
          <w:p>
            <w:pPr>
              <w:ind w:left="581"/>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1283" w:type="dxa"/>
            <w:vAlign w:val="top"/>
          </w:tcPr>
          <w:p>
            <w:pPr>
              <w:ind w:left="582"/>
              <w:spacing w:before="79" w:line="200" w:lineRule="auto"/>
              <w:rPr>
                <w:rFonts w:ascii="Arial" w:hAnsi="Arial" w:eastAsia="Arial" w:cs="Arial"/>
                <w:sz w:val="18"/>
                <w:szCs w:val="18"/>
              </w:rPr>
            </w:pPr>
            <w:r>
              <w:rPr>
                <w:rFonts w:ascii="Arial" w:hAnsi="Arial" w:eastAsia="Arial" w:cs="Arial"/>
                <w:sz w:val="18"/>
                <w:szCs w:val="18"/>
                <w:b/>
                <w:bCs/>
                <w:color w:val="212529"/>
              </w:rPr>
              <w:t>3</w:t>
            </w:r>
          </w:p>
        </w:tc>
        <w:tc>
          <w:tcPr>
            <w:tcW w:w="539" w:type="dxa"/>
            <w:vAlign w:val="top"/>
          </w:tcPr>
          <w:p>
            <w:pPr>
              <w:ind w:left="211"/>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941" w:type="dxa"/>
            <w:vAlign w:val="top"/>
          </w:tcPr>
          <w:p>
            <w:pPr>
              <w:ind w:left="413"/>
              <w:spacing w:before="79"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752" w:type="dxa"/>
            <w:vAlign w:val="top"/>
            <w:gridSpan w:val="2"/>
          </w:tcPr>
          <w:p>
            <w:pPr>
              <w:pStyle w:val="TableText"/>
              <w:ind w:left="1180"/>
              <w:spacing w:before="45" w:line="221" w:lineRule="auto"/>
              <w:rPr/>
            </w:pPr>
            <w:r>
              <w:rPr>
                <w:color w:val="212529"/>
                <w:spacing w:val="-5"/>
              </w:rPr>
              <w:t>合计</w:t>
            </w:r>
          </w:p>
        </w:tc>
        <w:tc>
          <w:tcPr>
            <w:tcW w:w="1283" w:type="dxa"/>
            <w:vAlign w:val="top"/>
          </w:tcPr>
          <w:p>
            <w:pPr>
              <w:pStyle w:val="TableText"/>
              <w:ind w:right="26"/>
              <w:spacing w:before="74" w:line="183" w:lineRule="auto"/>
              <w:jc w:val="right"/>
              <w:rPr/>
            </w:pPr>
            <w:r>
              <w:rPr>
                <w:color w:val="212529"/>
                <w:spacing w:val="-2"/>
              </w:rPr>
              <w:t>309.29</w:t>
            </w:r>
          </w:p>
        </w:tc>
        <w:tc>
          <w:tcPr>
            <w:tcW w:w="1283" w:type="dxa"/>
            <w:vAlign w:val="top"/>
          </w:tcPr>
          <w:p>
            <w:pPr>
              <w:pStyle w:val="TableText"/>
              <w:ind w:right="25"/>
              <w:spacing w:before="73" w:line="184" w:lineRule="auto"/>
              <w:jc w:val="right"/>
              <w:rPr/>
            </w:pPr>
            <w:r>
              <w:rPr>
                <w:color w:val="212529"/>
                <w:spacing w:val="-4"/>
              </w:rPr>
              <w:t>163.78</w:t>
            </w:r>
          </w:p>
        </w:tc>
        <w:tc>
          <w:tcPr>
            <w:tcW w:w="1283" w:type="dxa"/>
            <w:vAlign w:val="top"/>
          </w:tcPr>
          <w:p>
            <w:pPr>
              <w:pStyle w:val="TableText"/>
              <w:ind w:right="23"/>
              <w:spacing w:before="73" w:line="184" w:lineRule="auto"/>
              <w:jc w:val="right"/>
              <w:rPr/>
            </w:pPr>
            <w:r>
              <w:rPr>
                <w:color w:val="212529"/>
                <w:spacing w:val="-4"/>
              </w:rPr>
              <w:t>145.50</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1" w:line="184" w:lineRule="auto"/>
              <w:rPr/>
            </w:pPr>
            <w:r>
              <w:rPr>
                <w:color w:val="212529"/>
                <w:spacing w:val="-4"/>
              </w:rPr>
              <w:t>201</w:t>
            </w:r>
          </w:p>
        </w:tc>
        <w:tc>
          <w:tcPr>
            <w:tcW w:w="1223" w:type="dxa"/>
            <w:vAlign w:val="top"/>
          </w:tcPr>
          <w:p>
            <w:pPr>
              <w:pStyle w:val="TableText"/>
              <w:ind w:left="5" w:right="136" w:firstLine="2"/>
              <w:spacing w:before="1" w:line="204" w:lineRule="auto"/>
              <w:rPr/>
            </w:pPr>
            <w:r>
              <w:rPr>
                <w:color w:val="212529"/>
                <w:spacing w:val="-2"/>
              </w:rPr>
              <w:t>一般公共服务</w:t>
            </w:r>
            <w:r>
              <w:rPr>
                <w:color w:val="212529"/>
              </w:rPr>
              <w:t xml:space="preserve"> </w:t>
            </w:r>
            <w:r>
              <w:rPr>
                <w:color w:val="212529"/>
                <w:spacing w:val="-5"/>
              </w:rPr>
              <w:t>支出</w:t>
            </w:r>
          </w:p>
        </w:tc>
        <w:tc>
          <w:tcPr>
            <w:tcW w:w="1283" w:type="dxa"/>
            <w:vAlign w:val="top"/>
          </w:tcPr>
          <w:p>
            <w:pPr>
              <w:pStyle w:val="TableText"/>
              <w:ind w:right="26"/>
              <w:spacing w:before="122" w:line="183" w:lineRule="auto"/>
              <w:jc w:val="right"/>
              <w:rPr/>
            </w:pPr>
            <w:r>
              <w:rPr>
                <w:color w:val="212529"/>
                <w:spacing w:val="-2"/>
              </w:rPr>
              <w:t>264.07</w:t>
            </w:r>
          </w:p>
        </w:tc>
        <w:tc>
          <w:tcPr>
            <w:tcW w:w="1283" w:type="dxa"/>
            <w:vAlign w:val="top"/>
          </w:tcPr>
          <w:p>
            <w:pPr>
              <w:pStyle w:val="TableText"/>
              <w:ind w:right="25"/>
              <w:spacing w:before="121" w:line="184" w:lineRule="auto"/>
              <w:jc w:val="right"/>
              <w:rPr/>
            </w:pPr>
            <w:r>
              <w:rPr>
                <w:color w:val="212529"/>
                <w:spacing w:val="-4"/>
              </w:rPr>
              <w:t>131.94</w:t>
            </w:r>
          </w:p>
        </w:tc>
        <w:tc>
          <w:tcPr>
            <w:tcW w:w="1283" w:type="dxa"/>
            <w:vAlign w:val="top"/>
          </w:tcPr>
          <w:p>
            <w:pPr>
              <w:pStyle w:val="TableText"/>
              <w:ind w:right="23"/>
              <w:spacing w:before="121" w:line="184" w:lineRule="auto"/>
              <w:jc w:val="right"/>
              <w:rPr/>
            </w:pPr>
            <w:r>
              <w:rPr>
                <w:color w:val="212529"/>
                <w:spacing w:val="-4"/>
              </w:rPr>
              <w:t>132.13</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74" w:line="184" w:lineRule="auto"/>
              <w:rPr/>
            </w:pPr>
            <w:r>
              <w:rPr>
                <w:color w:val="212529"/>
                <w:spacing w:val="-2"/>
              </w:rPr>
              <w:t>20133</w:t>
            </w:r>
          </w:p>
        </w:tc>
        <w:tc>
          <w:tcPr>
            <w:tcW w:w="1223" w:type="dxa"/>
            <w:vAlign w:val="top"/>
          </w:tcPr>
          <w:p>
            <w:pPr>
              <w:pStyle w:val="TableText"/>
              <w:ind w:left="7"/>
              <w:spacing w:before="46" w:line="219" w:lineRule="auto"/>
              <w:rPr/>
            </w:pPr>
            <w:r>
              <w:rPr>
                <w:color w:val="212529"/>
                <w:spacing w:val="-3"/>
              </w:rPr>
              <w:t>宣传事务</w:t>
            </w:r>
          </w:p>
        </w:tc>
        <w:tc>
          <w:tcPr>
            <w:tcW w:w="1283" w:type="dxa"/>
            <w:vAlign w:val="top"/>
          </w:tcPr>
          <w:p>
            <w:pPr>
              <w:pStyle w:val="TableText"/>
              <w:ind w:right="26"/>
              <w:spacing w:before="75" w:line="183" w:lineRule="auto"/>
              <w:jc w:val="right"/>
              <w:rPr/>
            </w:pPr>
            <w:r>
              <w:rPr>
                <w:color w:val="212529"/>
                <w:spacing w:val="-2"/>
              </w:rPr>
              <w:t>264.07</w:t>
            </w:r>
          </w:p>
        </w:tc>
        <w:tc>
          <w:tcPr>
            <w:tcW w:w="1283" w:type="dxa"/>
            <w:vAlign w:val="top"/>
          </w:tcPr>
          <w:p>
            <w:pPr>
              <w:pStyle w:val="TableText"/>
              <w:ind w:right="25"/>
              <w:spacing w:before="74" w:line="184" w:lineRule="auto"/>
              <w:jc w:val="right"/>
              <w:rPr/>
            </w:pPr>
            <w:r>
              <w:rPr>
                <w:color w:val="212529"/>
                <w:spacing w:val="-4"/>
              </w:rPr>
              <w:t>131.94</w:t>
            </w:r>
          </w:p>
        </w:tc>
        <w:tc>
          <w:tcPr>
            <w:tcW w:w="1283" w:type="dxa"/>
            <w:vAlign w:val="top"/>
          </w:tcPr>
          <w:p>
            <w:pPr>
              <w:pStyle w:val="TableText"/>
              <w:ind w:right="23"/>
              <w:spacing w:before="74" w:line="184" w:lineRule="auto"/>
              <w:jc w:val="right"/>
              <w:rPr/>
            </w:pPr>
            <w:r>
              <w:rPr>
                <w:color w:val="212529"/>
                <w:spacing w:val="-4"/>
              </w:rPr>
              <w:t>132.13</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74" w:line="184" w:lineRule="auto"/>
              <w:rPr/>
            </w:pPr>
            <w:r>
              <w:rPr>
                <w:color w:val="212529"/>
                <w:spacing w:val="-2"/>
              </w:rPr>
              <w:t>2013301</w:t>
            </w:r>
          </w:p>
        </w:tc>
        <w:tc>
          <w:tcPr>
            <w:tcW w:w="1223" w:type="dxa"/>
            <w:vAlign w:val="top"/>
          </w:tcPr>
          <w:p>
            <w:pPr>
              <w:pStyle w:val="TableText"/>
              <w:ind w:left="7"/>
              <w:spacing w:before="47" w:line="220" w:lineRule="auto"/>
              <w:rPr/>
            </w:pPr>
            <w:r>
              <w:rPr>
                <w:color w:val="212529"/>
                <w:spacing w:val="-3"/>
              </w:rPr>
              <w:t>行政运行</w:t>
            </w:r>
          </w:p>
        </w:tc>
        <w:tc>
          <w:tcPr>
            <w:tcW w:w="1283" w:type="dxa"/>
            <w:vAlign w:val="top"/>
          </w:tcPr>
          <w:p>
            <w:pPr>
              <w:pStyle w:val="TableText"/>
              <w:ind w:right="26"/>
              <w:spacing w:before="74" w:line="184" w:lineRule="auto"/>
              <w:jc w:val="right"/>
              <w:rPr/>
            </w:pPr>
            <w:r>
              <w:rPr>
                <w:color w:val="212529"/>
                <w:spacing w:val="-2"/>
              </w:rPr>
              <w:t>241.86</w:t>
            </w:r>
          </w:p>
        </w:tc>
        <w:tc>
          <w:tcPr>
            <w:tcW w:w="1283" w:type="dxa"/>
            <w:vAlign w:val="top"/>
          </w:tcPr>
          <w:p>
            <w:pPr>
              <w:pStyle w:val="TableText"/>
              <w:ind w:right="25"/>
              <w:spacing w:before="74" w:line="184" w:lineRule="auto"/>
              <w:jc w:val="right"/>
              <w:rPr/>
            </w:pPr>
            <w:r>
              <w:rPr>
                <w:color w:val="212529"/>
                <w:spacing w:val="-4"/>
              </w:rPr>
              <w:t>109.73</w:t>
            </w:r>
          </w:p>
        </w:tc>
        <w:tc>
          <w:tcPr>
            <w:tcW w:w="1283" w:type="dxa"/>
            <w:vAlign w:val="top"/>
          </w:tcPr>
          <w:p>
            <w:pPr>
              <w:pStyle w:val="TableText"/>
              <w:ind w:right="23"/>
              <w:spacing w:before="74" w:line="184" w:lineRule="auto"/>
              <w:jc w:val="right"/>
              <w:rPr/>
            </w:pPr>
            <w:r>
              <w:rPr>
                <w:color w:val="212529"/>
                <w:spacing w:val="-4"/>
              </w:rPr>
              <w:t>132.13</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75" w:line="184" w:lineRule="auto"/>
              <w:rPr/>
            </w:pPr>
            <w:r>
              <w:rPr>
                <w:color w:val="212529"/>
                <w:spacing w:val="-2"/>
              </w:rPr>
              <w:t>2013350</w:t>
            </w:r>
          </w:p>
        </w:tc>
        <w:tc>
          <w:tcPr>
            <w:tcW w:w="1223" w:type="dxa"/>
            <w:vAlign w:val="top"/>
          </w:tcPr>
          <w:p>
            <w:pPr>
              <w:pStyle w:val="TableText"/>
              <w:ind w:left="4"/>
              <w:spacing w:before="47" w:line="220" w:lineRule="auto"/>
              <w:rPr/>
            </w:pPr>
            <w:r>
              <w:rPr>
                <w:color w:val="212529"/>
                <w:spacing w:val="-3"/>
              </w:rPr>
              <w:t>事业运行</w:t>
            </w:r>
          </w:p>
        </w:tc>
        <w:tc>
          <w:tcPr>
            <w:tcW w:w="1283" w:type="dxa"/>
            <w:vAlign w:val="top"/>
          </w:tcPr>
          <w:p>
            <w:pPr>
              <w:pStyle w:val="TableText"/>
              <w:ind w:left="800"/>
              <w:spacing w:before="75" w:line="183" w:lineRule="auto"/>
              <w:rPr/>
            </w:pPr>
            <w:r>
              <w:rPr>
                <w:color w:val="212529"/>
                <w:spacing w:val="-2"/>
              </w:rPr>
              <w:t>22.20</w:t>
            </w:r>
          </w:p>
        </w:tc>
        <w:tc>
          <w:tcPr>
            <w:tcW w:w="1283" w:type="dxa"/>
            <w:vAlign w:val="top"/>
          </w:tcPr>
          <w:p>
            <w:pPr>
              <w:pStyle w:val="TableText"/>
              <w:ind w:left="801"/>
              <w:spacing w:before="75" w:line="183" w:lineRule="auto"/>
              <w:rPr/>
            </w:pPr>
            <w:r>
              <w:rPr>
                <w:color w:val="212529"/>
                <w:spacing w:val="-2"/>
              </w:rPr>
              <w:t>22.20</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4" w:line="183" w:lineRule="auto"/>
              <w:rPr/>
            </w:pPr>
            <w:r>
              <w:rPr>
                <w:color w:val="212529"/>
                <w:spacing w:val="-4"/>
              </w:rPr>
              <w:t>207</w:t>
            </w:r>
          </w:p>
        </w:tc>
        <w:tc>
          <w:tcPr>
            <w:tcW w:w="1223" w:type="dxa"/>
            <w:vAlign w:val="top"/>
          </w:tcPr>
          <w:p>
            <w:pPr>
              <w:pStyle w:val="TableText"/>
              <w:ind w:left="7" w:right="136" w:hanging="2"/>
              <w:spacing w:before="1" w:line="204" w:lineRule="auto"/>
              <w:rPr/>
            </w:pPr>
            <w:r>
              <w:rPr>
                <w:color w:val="212529"/>
                <w:spacing w:val="-2"/>
              </w:rPr>
              <w:t>文化旅游体育</w:t>
            </w:r>
            <w:r>
              <w:rPr>
                <w:color w:val="212529"/>
                <w:spacing w:val="1"/>
              </w:rPr>
              <w:t xml:space="preserve"> </w:t>
            </w:r>
            <w:r>
              <w:rPr>
                <w:color w:val="212529"/>
                <w:spacing w:val="-3"/>
              </w:rPr>
              <w:t>与传媒支出</w:t>
            </w:r>
          </w:p>
        </w:tc>
        <w:tc>
          <w:tcPr>
            <w:tcW w:w="1283" w:type="dxa"/>
            <w:vAlign w:val="top"/>
          </w:tcPr>
          <w:p>
            <w:pPr>
              <w:pStyle w:val="TableText"/>
              <w:ind w:left="811"/>
              <w:spacing w:before="122" w:line="184" w:lineRule="auto"/>
              <w:rPr/>
            </w:pPr>
            <w:r>
              <w:rPr>
                <w:color w:val="212529"/>
                <w:spacing w:val="-5"/>
              </w:rPr>
              <w:t>12.41</w:t>
            </w:r>
          </w:p>
        </w:tc>
        <w:tc>
          <w:tcPr>
            <w:tcW w:w="1283" w:type="dxa"/>
            <w:vAlign w:val="top"/>
          </w:tcPr>
          <w:p>
            <w:pPr>
              <w:rPr>
                <w:rFonts w:ascii="Arial"/>
                <w:sz w:val="21"/>
              </w:rPr>
            </w:pPr>
            <w:r/>
          </w:p>
        </w:tc>
        <w:tc>
          <w:tcPr>
            <w:tcW w:w="1283" w:type="dxa"/>
            <w:vAlign w:val="top"/>
          </w:tcPr>
          <w:p>
            <w:pPr>
              <w:pStyle w:val="TableText"/>
              <w:ind w:left="814"/>
              <w:spacing w:before="122" w:line="184" w:lineRule="auto"/>
              <w:rPr/>
            </w:pPr>
            <w:r>
              <w:rPr>
                <w:color w:val="212529"/>
                <w:spacing w:val="-5"/>
              </w:rPr>
              <w:t>12.41</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613" w:hRule="atLeast"/>
        </w:trPr>
        <w:tc>
          <w:tcPr>
            <w:tcW w:w="1529" w:type="dxa"/>
            <w:vAlign w:val="top"/>
          </w:tcPr>
          <w:p>
            <w:pPr>
              <w:pStyle w:val="TableText"/>
              <w:ind w:left="11"/>
              <w:spacing w:before="233" w:line="183" w:lineRule="auto"/>
              <w:rPr/>
            </w:pPr>
            <w:r>
              <w:rPr>
                <w:color w:val="212529"/>
                <w:spacing w:val="-2"/>
              </w:rPr>
              <w:t>20799</w:t>
            </w:r>
          </w:p>
        </w:tc>
        <w:tc>
          <w:tcPr>
            <w:tcW w:w="1223" w:type="dxa"/>
            <w:vAlign w:val="top"/>
          </w:tcPr>
          <w:p>
            <w:pPr>
              <w:pStyle w:val="TableText"/>
              <w:ind w:left="4" w:right="136"/>
              <w:spacing w:line="206"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83" w:type="dxa"/>
            <w:vAlign w:val="top"/>
          </w:tcPr>
          <w:p>
            <w:pPr>
              <w:pStyle w:val="TableText"/>
              <w:ind w:left="811"/>
              <w:spacing w:before="232" w:line="184" w:lineRule="auto"/>
              <w:rPr/>
            </w:pPr>
            <w:r>
              <w:rPr>
                <w:color w:val="212529"/>
                <w:spacing w:val="-5"/>
              </w:rPr>
              <w:t>12.41</w:t>
            </w:r>
          </w:p>
        </w:tc>
        <w:tc>
          <w:tcPr>
            <w:tcW w:w="1283" w:type="dxa"/>
            <w:vAlign w:val="top"/>
          </w:tcPr>
          <w:p>
            <w:pPr>
              <w:rPr>
                <w:rFonts w:ascii="Arial"/>
                <w:sz w:val="21"/>
              </w:rPr>
            </w:pPr>
            <w:r/>
          </w:p>
        </w:tc>
        <w:tc>
          <w:tcPr>
            <w:tcW w:w="1283" w:type="dxa"/>
            <w:vAlign w:val="top"/>
          </w:tcPr>
          <w:p>
            <w:pPr>
              <w:pStyle w:val="TableText"/>
              <w:ind w:left="814"/>
              <w:spacing w:before="232" w:line="184" w:lineRule="auto"/>
              <w:rPr/>
            </w:pPr>
            <w:r>
              <w:rPr>
                <w:color w:val="212529"/>
                <w:spacing w:val="-5"/>
              </w:rPr>
              <w:t>12.41</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613" w:hRule="atLeast"/>
        </w:trPr>
        <w:tc>
          <w:tcPr>
            <w:tcW w:w="1529" w:type="dxa"/>
            <w:vAlign w:val="top"/>
          </w:tcPr>
          <w:p>
            <w:pPr>
              <w:pStyle w:val="TableText"/>
              <w:ind w:left="11"/>
              <w:spacing w:before="234" w:line="183" w:lineRule="auto"/>
              <w:rPr/>
            </w:pPr>
            <w:r>
              <w:rPr>
                <w:color w:val="212529"/>
                <w:spacing w:val="-2"/>
              </w:rPr>
              <w:t>2079999</w:t>
            </w:r>
          </w:p>
        </w:tc>
        <w:tc>
          <w:tcPr>
            <w:tcW w:w="1223" w:type="dxa"/>
            <w:vAlign w:val="top"/>
          </w:tcPr>
          <w:p>
            <w:pPr>
              <w:pStyle w:val="TableText"/>
              <w:ind w:left="4" w:right="136"/>
              <w:spacing w:line="206"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83" w:type="dxa"/>
            <w:vAlign w:val="top"/>
          </w:tcPr>
          <w:p>
            <w:pPr>
              <w:pStyle w:val="TableText"/>
              <w:ind w:left="811"/>
              <w:spacing w:before="233" w:line="184" w:lineRule="auto"/>
              <w:rPr/>
            </w:pPr>
            <w:r>
              <w:rPr>
                <w:color w:val="212529"/>
                <w:spacing w:val="-5"/>
              </w:rPr>
              <w:t>12.41</w:t>
            </w:r>
          </w:p>
        </w:tc>
        <w:tc>
          <w:tcPr>
            <w:tcW w:w="1283" w:type="dxa"/>
            <w:vAlign w:val="top"/>
          </w:tcPr>
          <w:p>
            <w:pPr>
              <w:rPr>
                <w:rFonts w:ascii="Arial"/>
                <w:sz w:val="21"/>
              </w:rPr>
            </w:pPr>
            <w:r/>
          </w:p>
        </w:tc>
        <w:tc>
          <w:tcPr>
            <w:tcW w:w="1283" w:type="dxa"/>
            <w:vAlign w:val="top"/>
          </w:tcPr>
          <w:p>
            <w:pPr>
              <w:pStyle w:val="TableText"/>
              <w:ind w:left="814"/>
              <w:spacing w:before="233" w:line="184" w:lineRule="auto"/>
              <w:rPr/>
            </w:pPr>
            <w:r>
              <w:rPr>
                <w:color w:val="212529"/>
                <w:spacing w:val="-5"/>
              </w:rPr>
              <w:t>12.41</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7" w:line="183" w:lineRule="auto"/>
              <w:rPr/>
            </w:pPr>
            <w:r>
              <w:rPr>
                <w:color w:val="212529"/>
                <w:spacing w:val="-4"/>
              </w:rPr>
              <w:t>208</w:t>
            </w:r>
          </w:p>
        </w:tc>
        <w:tc>
          <w:tcPr>
            <w:tcW w:w="1223" w:type="dxa"/>
            <w:vAlign w:val="top"/>
          </w:tcPr>
          <w:p>
            <w:pPr>
              <w:pStyle w:val="TableText"/>
              <w:ind w:left="3" w:right="136"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283" w:type="dxa"/>
            <w:vAlign w:val="top"/>
          </w:tcPr>
          <w:p>
            <w:pPr>
              <w:pStyle w:val="TableText"/>
              <w:ind w:left="811"/>
              <w:spacing w:before="126" w:line="184" w:lineRule="auto"/>
              <w:rPr/>
            </w:pPr>
            <w:r>
              <w:rPr>
                <w:color w:val="212529"/>
                <w:spacing w:val="-5"/>
              </w:rPr>
              <w:t>18.71</w:t>
            </w:r>
          </w:p>
        </w:tc>
        <w:tc>
          <w:tcPr>
            <w:tcW w:w="1283" w:type="dxa"/>
            <w:vAlign w:val="top"/>
          </w:tcPr>
          <w:p>
            <w:pPr>
              <w:pStyle w:val="TableText"/>
              <w:ind w:left="812"/>
              <w:spacing w:before="126" w:line="184" w:lineRule="auto"/>
              <w:rPr/>
            </w:pPr>
            <w:r>
              <w:rPr>
                <w:color w:val="212529"/>
                <w:spacing w:val="-5"/>
              </w:rPr>
              <w:t>18.71</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8" w:line="183" w:lineRule="auto"/>
              <w:rPr/>
            </w:pPr>
            <w:r>
              <w:rPr>
                <w:color w:val="212529"/>
                <w:spacing w:val="-2"/>
              </w:rPr>
              <w:t>20805</w:t>
            </w:r>
          </w:p>
        </w:tc>
        <w:tc>
          <w:tcPr>
            <w:tcW w:w="1223" w:type="dxa"/>
            <w:vAlign w:val="top"/>
          </w:tcPr>
          <w:p>
            <w:pPr>
              <w:pStyle w:val="TableText"/>
              <w:ind w:left="5" w:right="136" w:firstLine="2"/>
              <w:spacing w:before="3" w:line="203" w:lineRule="auto"/>
              <w:rPr/>
            </w:pPr>
            <w:r>
              <w:rPr>
                <w:color w:val="212529"/>
                <w:spacing w:val="-2"/>
              </w:rPr>
              <w:t>行政事业单位</w:t>
            </w:r>
            <w:r>
              <w:rPr>
                <w:color w:val="212529"/>
              </w:rPr>
              <w:t xml:space="preserve"> </w:t>
            </w:r>
            <w:r>
              <w:rPr>
                <w:color w:val="212529"/>
                <w:spacing w:val="-3"/>
              </w:rPr>
              <w:t>养老支出</w:t>
            </w:r>
          </w:p>
        </w:tc>
        <w:tc>
          <w:tcPr>
            <w:tcW w:w="1283" w:type="dxa"/>
            <w:vAlign w:val="top"/>
          </w:tcPr>
          <w:p>
            <w:pPr>
              <w:pStyle w:val="TableText"/>
              <w:ind w:left="811"/>
              <w:spacing w:before="127" w:line="184" w:lineRule="auto"/>
              <w:rPr/>
            </w:pPr>
            <w:r>
              <w:rPr>
                <w:color w:val="212529"/>
                <w:spacing w:val="-5"/>
              </w:rPr>
              <w:t>18.71</w:t>
            </w:r>
          </w:p>
        </w:tc>
        <w:tc>
          <w:tcPr>
            <w:tcW w:w="1283" w:type="dxa"/>
            <w:vAlign w:val="top"/>
          </w:tcPr>
          <w:p>
            <w:pPr>
              <w:pStyle w:val="TableText"/>
              <w:ind w:left="812"/>
              <w:spacing w:before="127" w:line="184" w:lineRule="auto"/>
              <w:rPr/>
            </w:pPr>
            <w:r>
              <w:rPr>
                <w:color w:val="212529"/>
                <w:spacing w:val="-5"/>
              </w:rPr>
              <w:t>18.71</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409" w:hRule="atLeast"/>
        </w:trPr>
        <w:tc>
          <w:tcPr>
            <w:tcW w:w="1529" w:type="dxa"/>
            <w:vAlign w:val="top"/>
          </w:tcPr>
          <w:p>
            <w:pPr>
              <w:pStyle w:val="TableText"/>
              <w:ind w:left="11"/>
              <w:spacing w:before="128" w:line="184" w:lineRule="auto"/>
              <w:rPr/>
            </w:pPr>
            <w:r>
              <w:rPr>
                <w:color w:val="212529"/>
                <w:spacing w:val="-2"/>
              </w:rPr>
              <w:t>2080501</w:t>
            </w:r>
          </w:p>
        </w:tc>
        <w:tc>
          <w:tcPr>
            <w:tcW w:w="1223" w:type="dxa"/>
            <w:vAlign w:val="top"/>
          </w:tcPr>
          <w:p>
            <w:pPr>
              <w:pStyle w:val="TableText"/>
              <w:ind w:left="3" w:right="136" w:firstLine="4"/>
              <w:spacing w:before="5" w:line="202" w:lineRule="auto"/>
              <w:rPr/>
            </w:pPr>
            <w:r>
              <w:rPr>
                <w:color w:val="212529"/>
                <w:spacing w:val="-2"/>
              </w:rPr>
              <w:t>行政单位离退</w:t>
            </w:r>
            <w:r>
              <w:rPr>
                <w:color w:val="212529"/>
              </w:rPr>
              <w:t xml:space="preserve"> </w:t>
            </w:r>
            <w:r>
              <w:rPr>
                <w:color w:val="212529"/>
              </w:rPr>
              <w:t>休</w:t>
            </w:r>
          </w:p>
        </w:tc>
        <w:tc>
          <w:tcPr>
            <w:tcW w:w="1283" w:type="dxa"/>
            <w:vAlign w:val="top"/>
          </w:tcPr>
          <w:p>
            <w:pPr>
              <w:pStyle w:val="TableText"/>
              <w:ind w:right="26"/>
              <w:spacing w:before="129" w:line="183" w:lineRule="auto"/>
              <w:jc w:val="right"/>
              <w:rPr/>
            </w:pPr>
            <w:r>
              <w:rPr>
                <w:color w:val="212529"/>
                <w:spacing w:val="-3"/>
              </w:rPr>
              <w:t>6.35</w:t>
            </w:r>
          </w:p>
        </w:tc>
        <w:tc>
          <w:tcPr>
            <w:tcW w:w="1283" w:type="dxa"/>
            <w:vAlign w:val="top"/>
          </w:tcPr>
          <w:p>
            <w:pPr>
              <w:pStyle w:val="TableText"/>
              <w:ind w:right="25"/>
              <w:spacing w:before="129" w:line="183" w:lineRule="auto"/>
              <w:jc w:val="right"/>
              <w:rPr/>
            </w:pPr>
            <w:r>
              <w:rPr>
                <w:color w:val="212529"/>
                <w:spacing w:val="-3"/>
              </w:rPr>
              <w:t>6.35</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613" w:hRule="atLeast"/>
        </w:trPr>
        <w:tc>
          <w:tcPr>
            <w:tcW w:w="1529" w:type="dxa"/>
            <w:vAlign w:val="top"/>
          </w:tcPr>
          <w:p>
            <w:pPr>
              <w:pStyle w:val="TableText"/>
              <w:ind w:left="11"/>
              <w:spacing w:before="238" w:line="183" w:lineRule="auto"/>
              <w:rPr/>
            </w:pPr>
            <w:r>
              <w:rPr>
                <w:color w:val="212529"/>
                <w:spacing w:val="-2"/>
              </w:rPr>
              <w:t>2080505</w:t>
            </w:r>
          </w:p>
        </w:tc>
        <w:tc>
          <w:tcPr>
            <w:tcW w:w="1223" w:type="dxa"/>
            <w:vAlign w:val="top"/>
          </w:tcPr>
          <w:p>
            <w:pPr>
              <w:pStyle w:val="TableText"/>
              <w:ind w:left="3" w:right="136"/>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83" w:type="dxa"/>
            <w:vAlign w:val="top"/>
          </w:tcPr>
          <w:p>
            <w:pPr>
              <w:pStyle w:val="TableText"/>
              <w:ind w:left="811"/>
              <w:spacing w:before="237" w:line="184" w:lineRule="auto"/>
              <w:rPr/>
            </w:pPr>
            <w:r>
              <w:rPr>
                <w:color w:val="212529"/>
                <w:spacing w:val="-5"/>
              </w:rPr>
              <w:t>12.36</w:t>
            </w:r>
          </w:p>
        </w:tc>
        <w:tc>
          <w:tcPr>
            <w:tcW w:w="1283" w:type="dxa"/>
            <w:vAlign w:val="top"/>
          </w:tcPr>
          <w:p>
            <w:pPr>
              <w:pStyle w:val="TableText"/>
              <w:ind w:left="812"/>
              <w:spacing w:before="237" w:line="184" w:lineRule="auto"/>
              <w:rPr/>
            </w:pPr>
            <w:r>
              <w:rPr>
                <w:color w:val="212529"/>
                <w:spacing w:val="-5"/>
              </w:rPr>
              <w:t>12.36</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2" w:line="184" w:lineRule="auto"/>
              <w:rPr/>
            </w:pPr>
            <w:r>
              <w:rPr>
                <w:color w:val="212529"/>
                <w:spacing w:val="-4"/>
              </w:rPr>
              <w:t>221</w:t>
            </w:r>
          </w:p>
        </w:tc>
        <w:tc>
          <w:tcPr>
            <w:tcW w:w="1223" w:type="dxa"/>
            <w:vAlign w:val="top"/>
          </w:tcPr>
          <w:p>
            <w:pPr>
              <w:pStyle w:val="TableText"/>
              <w:ind w:left="3"/>
              <w:spacing w:before="55" w:line="219" w:lineRule="auto"/>
              <w:rPr/>
            </w:pPr>
            <w:r>
              <w:rPr>
                <w:color w:val="212529"/>
                <w:spacing w:val="-2"/>
              </w:rPr>
              <w:t>住房保障支出</w:t>
            </w:r>
          </w:p>
        </w:tc>
        <w:tc>
          <w:tcPr>
            <w:tcW w:w="1283" w:type="dxa"/>
            <w:vAlign w:val="top"/>
          </w:tcPr>
          <w:p>
            <w:pPr>
              <w:pStyle w:val="TableText"/>
              <w:ind w:left="811"/>
              <w:spacing w:before="82" w:line="184" w:lineRule="auto"/>
              <w:rPr/>
            </w:pPr>
            <w:r>
              <w:rPr>
                <w:color w:val="212529"/>
                <w:spacing w:val="-5"/>
              </w:rPr>
              <w:t>13.14</w:t>
            </w:r>
          </w:p>
        </w:tc>
        <w:tc>
          <w:tcPr>
            <w:tcW w:w="1283" w:type="dxa"/>
            <w:vAlign w:val="top"/>
          </w:tcPr>
          <w:p>
            <w:pPr>
              <w:pStyle w:val="TableText"/>
              <w:ind w:left="812"/>
              <w:spacing w:before="82" w:line="184" w:lineRule="auto"/>
              <w:rPr/>
            </w:pPr>
            <w:r>
              <w:rPr>
                <w:color w:val="212529"/>
                <w:spacing w:val="-5"/>
              </w:rPr>
              <w:t>13.14</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3" w:line="184" w:lineRule="auto"/>
              <w:rPr/>
            </w:pPr>
            <w:r>
              <w:rPr>
                <w:color w:val="212529"/>
                <w:spacing w:val="-2"/>
              </w:rPr>
              <w:t>22102</w:t>
            </w:r>
          </w:p>
        </w:tc>
        <w:tc>
          <w:tcPr>
            <w:tcW w:w="1223" w:type="dxa"/>
            <w:vAlign w:val="top"/>
          </w:tcPr>
          <w:p>
            <w:pPr>
              <w:pStyle w:val="TableText"/>
              <w:ind w:left="3"/>
              <w:spacing w:before="55" w:line="219" w:lineRule="auto"/>
              <w:rPr/>
            </w:pPr>
            <w:r>
              <w:rPr>
                <w:color w:val="212529"/>
                <w:spacing w:val="-2"/>
              </w:rPr>
              <w:t>住房改革支出</w:t>
            </w:r>
          </w:p>
        </w:tc>
        <w:tc>
          <w:tcPr>
            <w:tcW w:w="1283" w:type="dxa"/>
            <w:vAlign w:val="top"/>
          </w:tcPr>
          <w:p>
            <w:pPr>
              <w:pStyle w:val="TableText"/>
              <w:ind w:left="811"/>
              <w:spacing w:before="83" w:line="184" w:lineRule="auto"/>
              <w:rPr/>
            </w:pPr>
            <w:r>
              <w:rPr>
                <w:color w:val="212529"/>
                <w:spacing w:val="-5"/>
              </w:rPr>
              <w:t>13.14</w:t>
            </w:r>
          </w:p>
        </w:tc>
        <w:tc>
          <w:tcPr>
            <w:tcW w:w="1283" w:type="dxa"/>
            <w:vAlign w:val="top"/>
          </w:tcPr>
          <w:p>
            <w:pPr>
              <w:pStyle w:val="TableText"/>
              <w:ind w:left="812"/>
              <w:spacing w:before="83" w:line="184" w:lineRule="auto"/>
              <w:rPr/>
            </w:pPr>
            <w:r>
              <w:rPr>
                <w:color w:val="212529"/>
                <w:spacing w:val="-5"/>
              </w:rPr>
              <w:t>13.14</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3" w:line="184" w:lineRule="auto"/>
              <w:rPr/>
            </w:pPr>
            <w:r>
              <w:rPr>
                <w:color w:val="212529"/>
                <w:spacing w:val="-2"/>
              </w:rPr>
              <w:t>2210201</w:t>
            </w:r>
          </w:p>
        </w:tc>
        <w:tc>
          <w:tcPr>
            <w:tcW w:w="1223" w:type="dxa"/>
            <w:vAlign w:val="top"/>
          </w:tcPr>
          <w:p>
            <w:pPr>
              <w:pStyle w:val="TableText"/>
              <w:ind w:left="3"/>
              <w:spacing w:before="55" w:line="220" w:lineRule="auto"/>
              <w:rPr/>
            </w:pPr>
            <w:r>
              <w:rPr>
                <w:color w:val="212529"/>
                <w:spacing w:val="-2"/>
              </w:rPr>
              <w:t>住房公积金</w:t>
            </w:r>
          </w:p>
        </w:tc>
        <w:tc>
          <w:tcPr>
            <w:tcW w:w="1283" w:type="dxa"/>
            <w:vAlign w:val="top"/>
          </w:tcPr>
          <w:p>
            <w:pPr>
              <w:pStyle w:val="TableText"/>
              <w:ind w:left="811"/>
              <w:spacing w:before="83" w:line="184" w:lineRule="auto"/>
              <w:rPr/>
            </w:pPr>
            <w:r>
              <w:rPr>
                <w:color w:val="212529"/>
                <w:spacing w:val="-5"/>
              </w:rPr>
              <w:t>13.14</w:t>
            </w:r>
          </w:p>
        </w:tc>
        <w:tc>
          <w:tcPr>
            <w:tcW w:w="1283" w:type="dxa"/>
            <w:vAlign w:val="top"/>
          </w:tcPr>
          <w:p>
            <w:pPr>
              <w:pStyle w:val="TableText"/>
              <w:ind w:left="812"/>
              <w:spacing w:before="83" w:line="184" w:lineRule="auto"/>
              <w:rPr/>
            </w:pPr>
            <w:r>
              <w:rPr>
                <w:color w:val="212529"/>
                <w:spacing w:val="-5"/>
              </w:rPr>
              <w:t>13.14</w:t>
            </w:r>
          </w:p>
        </w:tc>
        <w:tc>
          <w:tcPr>
            <w:tcW w:w="1283" w:type="dxa"/>
            <w:vAlign w:val="top"/>
          </w:tcPr>
          <w:p>
            <w:pPr>
              <w:rPr>
                <w:rFonts w:ascii="Arial"/>
                <w:sz w:val="21"/>
              </w:rPr>
            </w:pPr>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4" w:line="183" w:lineRule="auto"/>
              <w:rPr/>
            </w:pPr>
            <w:r>
              <w:rPr>
                <w:color w:val="212529"/>
                <w:spacing w:val="-4"/>
              </w:rPr>
              <w:t>229</w:t>
            </w:r>
          </w:p>
        </w:tc>
        <w:tc>
          <w:tcPr>
            <w:tcW w:w="1223" w:type="dxa"/>
            <w:vAlign w:val="top"/>
          </w:tcPr>
          <w:p>
            <w:pPr>
              <w:pStyle w:val="TableText"/>
              <w:ind w:left="5"/>
              <w:spacing w:before="55" w:line="220" w:lineRule="auto"/>
              <w:rPr/>
            </w:pPr>
            <w:r>
              <w:rPr>
                <w:color w:val="212529"/>
                <w:spacing w:val="-3"/>
              </w:rPr>
              <w:t>其他支出</w:t>
            </w:r>
          </w:p>
        </w:tc>
        <w:tc>
          <w:tcPr>
            <w:tcW w:w="1283" w:type="dxa"/>
            <w:vAlign w:val="top"/>
          </w:tcPr>
          <w:p>
            <w:pPr>
              <w:pStyle w:val="TableText"/>
              <w:ind w:right="26"/>
              <w:spacing w:before="84" w:line="183" w:lineRule="auto"/>
              <w:jc w:val="right"/>
              <w:rPr/>
            </w:pPr>
            <w:r>
              <w:rPr>
                <w:color w:val="212529"/>
                <w:spacing w:val="-3"/>
              </w:rPr>
              <w:t>0.96</w:t>
            </w:r>
          </w:p>
        </w:tc>
        <w:tc>
          <w:tcPr>
            <w:tcW w:w="1283" w:type="dxa"/>
            <w:vAlign w:val="top"/>
          </w:tcPr>
          <w:p>
            <w:pPr>
              <w:rPr>
                <w:rFonts w:ascii="Arial"/>
                <w:sz w:val="21"/>
              </w:rPr>
            </w:pPr>
            <w:r/>
          </w:p>
        </w:tc>
        <w:tc>
          <w:tcPr>
            <w:tcW w:w="1283" w:type="dxa"/>
            <w:vAlign w:val="top"/>
          </w:tcPr>
          <w:p>
            <w:pPr>
              <w:pStyle w:val="TableText"/>
              <w:ind w:right="23"/>
              <w:spacing w:before="84" w:line="183" w:lineRule="auto"/>
              <w:jc w:val="right"/>
              <w:rPr/>
            </w:pPr>
            <w:r>
              <w:rPr>
                <w:color w:val="212529"/>
                <w:spacing w:val="-3"/>
              </w:rPr>
              <w:t>0.96</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4" w:line="183" w:lineRule="auto"/>
              <w:rPr/>
            </w:pPr>
            <w:r>
              <w:rPr>
                <w:color w:val="212529"/>
                <w:spacing w:val="-2"/>
              </w:rPr>
              <w:t>22999</w:t>
            </w:r>
          </w:p>
        </w:tc>
        <w:tc>
          <w:tcPr>
            <w:tcW w:w="1223" w:type="dxa"/>
            <w:vAlign w:val="top"/>
          </w:tcPr>
          <w:p>
            <w:pPr>
              <w:pStyle w:val="TableText"/>
              <w:ind w:left="5"/>
              <w:spacing w:before="55" w:line="220" w:lineRule="auto"/>
              <w:rPr/>
            </w:pPr>
            <w:r>
              <w:rPr>
                <w:color w:val="212529"/>
                <w:spacing w:val="-3"/>
              </w:rPr>
              <w:t>其他支出</w:t>
            </w:r>
          </w:p>
        </w:tc>
        <w:tc>
          <w:tcPr>
            <w:tcW w:w="1283" w:type="dxa"/>
            <w:vAlign w:val="top"/>
          </w:tcPr>
          <w:p>
            <w:pPr>
              <w:pStyle w:val="TableText"/>
              <w:ind w:right="26"/>
              <w:spacing w:before="84" w:line="183" w:lineRule="auto"/>
              <w:jc w:val="right"/>
              <w:rPr/>
            </w:pPr>
            <w:r>
              <w:rPr>
                <w:color w:val="212529"/>
                <w:spacing w:val="-3"/>
              </w:rPr>
              <w:t>0.96</w:t>
            </w:r>
          </w:p>
        </w:tc>
        <w:tc>
          <w:tcPr>
            <w:tcW w:w="1283" w:type="dxa"/>
            <w:vAlign w:val="top"/>
          </w:tcPr>
          <w:p>
            <w:pPr>
              <w:rPr>
                <w:rFonts w:ascii="Arial"/>
                <w:sz w:val="21"/>
              </w:rPr>
            </w:pPr>
            <w:r/>
          </w:p>
        </w:tc>
        <w:tc>
          <w:tcPr>
            <w:tcW w:w="1283" w:type="dxa"/>
            <w:vAlign w:val="top"/>
          </w:tcPr>
          <w:p>
            <w:pPr>
              <w:pStyle w:val="TableText"/>
              <w:ind w:right="23"/>
              <w:spacing w:before="84" w:line="183" w:lineRule="auto"/>
              <w:jc w:val="right"/>
              <w:rPr/>
            </w:pPr>
            <w:r>
              <w:rPr>
                <w:color w:val="212529"/>
                <w:spacing w:val="-3"/>
              </w:rPr>
              <w:t>0.96</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14" w:hRule="atLeast"/>
        </w:trPr>
        <w:tc>
          <w:tcPr>
            <w:tcW w:w="1529" w:type="dxa"/>
            <w:vAlign w:val="top"/>
          </w:tcPr>
          <w:p>
            <w:pPr>
              <w:pStyle w:val="TableText"/>
              <w:ind w:left="11"/>
              <w:spacing w:before="84" w:line="183" w:lineRule="auto"/>
              <w:rPr/>
            </w:pPr>
            <w:r>
              <w:rPr>
                <w:color w:val="212529"/>
                <w:spacing w:val="-2"/>
              </w:rPr>
              <w:t>2299999</w:t>
            </w:r>
          </w:p>
        </w:tc>
        <w:tc>
          <w:tcPr>
            <w:tcW w:w="1223" w:type="dxa"/>
            <w:vAlign w:val="top"/>
          </w:tcPr>
          <w:p>
            <w:pPr>
              <w:pStyle w:val="TableText"/>
              <w:ind w:left="5"/>
              <w:spacing w:before="55" w:line="220" w:lineRule="auto"/>
              <w:rPr/>
            </w:pPr>
            <w:r>
              <w:rPr>
                <w:color w:val="212529"/>
                <w:spacing w:val="-3"/>
              </w:rPr>
              <w:t>其他支出</w:t>
            </w:r>
          </w:p>
        </w:tc>
        <w:tc>
          <w:tcPr>
            <w:tcW w:w="1283" w:type="dxa"/>
            <w:vAlign w:val="top"/>
          </w:tcPr>
          <w:p>
            <w:pPr>
              <w:pStyle w:val="TableText"/>
              <w:ind w:right="26"/>
              <w:spacing w:before="84" w:line="183" w:lineRule="auto"/>
              <w:jc w:val="right"/>
              <w:rPr/>
            </w:pPr>
            <w:r>
              <w:rPr>
                <w:color w:val="212529"/>
                <w:spacing w:val="-3"/>
              </w:rPr>
              <w:t>0.96</w:t>
            </w:r>
          </w:p>
        </w:tc>
        <w:tc>
          <w:tcPr>
            <w:tcW w:w="1283" w:type="dxa"/>
            <w:vAlign w:val="top"/>
          </w:tcPr>
          <w:p>
            <w:pPr>
              <w:rPr>
                <w:rFonts w:ascii="Arial"/>
                <w:sz w:val="21"/>
              </w:rPr>
            </w:pPr>
            <w:r/>
          </w:p>
        </w:tc>
        <w:tc>
          <w:tcPr>
            <w:tcW w:w="1283" w:type="dxa"/>
            <w:vAlign w:val="top"/>
          </w:tcPr>
          <w:p>
            <w:pPr>
              <w:pStyle w:val="TableText"/>
              <w:ind w:right="23"/>
              <w:spacing w:before="84" w:line="183" w:lineRule="auto"/>
              <w:jc w:val="right"/>
              <w:rPr/>
            </w:pPr>
            <w:r>
              <w:rPr>
                <w:color w:val="212529"/>
                <w:spacing w:val="-3"/>
              </w:rPr>
              <w:t>0.96</w:t>
            </w:r>
          </w:p>
        </w:tc>
        <w:tc>
          <w:tcPr>
            <w:tcW w:w="539" w:type="dxa"/>
            <w:vAlign w:val="top"/>
          </w:tcPr>
          <w:p>
            <w:pPr>
              <w:rPr>
                <w:rFonts w:ascii="Arial"/>
                <w:sz w:val="21"/>
              </w:rPr>
            </w:pPr>
            <w:r/>
          </w:p>
        </w:tc>
        <w:tc>
          <w:tcPr>
            <w:tcW w:w="935" w:type="dxa"/>
            <w:vAlign w:val="top"/>
          </w:tcPr>
          <w:p>
            <w:pPr>
              <w:rPr>
                <w:rFonts w:ascii="Arial"/>
                <w:sz w:val="21"/>
              </w:rPr>
            </w:pPr>
            <w:r/>
          </w:p>
        </w:tc>
        <w:tc>
          <w:tcPr>
            <w:tcW w:w="941" w:type="dxa"/>
            <w:vAlign w:val="top"/>
          </w:tcPr>
          <w:p>
            <w:pPr>
              <w:rPr>
                <w:rFonts w:ascii="Arial"/>
                <w:sz w:val="21"/>
              </w:rPr>
            </w:pPr>
            <w:r/>
          </w:p>
        </w:tc>
      </w:tr>
      <w:tr>
        <w:trPr>
          <w:trHeight w:val="320" w:hRule="atLeast"/>
        </w:trPr>
        <w:tc>
          <w:tcPr>
            <w:tcW w:w="9016" w:type="dxa"/>
            <w:vAlign w:val="top"/>
            <w:gridSpan w:val="8"/>
            <w:tcBorders>
              <w:bottom w:val="single" w:color="FFFFFF" w:sz="4" w:space="0"/>
              <w:left w:val="single" w:color="000000" w:sz="2" w:space="0"/>
              <w:right w:val="nil"/>
            </w:tcBorders>
          </w:tcPr>
          <w:p>
            <w:pPr>
              <w:ind w:left="7"/>
              <w:spacing w:before="68"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6"/>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部门名称：中国共产党古县委员会宣传部</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20"/>
              <w:spacing w:before="138" w:line="183" w:lineRule="auto"/>
              <w:rPr/>
            </w:pPr>
            <w:r>
              <w:rPr>
                <w:color w:val="212529"/>
                <w:spacing w:val="-2"/>
              </w:rPr>
              <w:t>309.29</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pStyle w:val="TableText"/>
              <w:ind w:right="23"/>
              <w:spacing w:before="138" w:line="183" w:lineRule="auto"/>
              <w:jc w:val="right"/>
              <w:rPr/>
            </w:pPr>
            <w:r>
              <w:rPr>
                <w:color w:val="212529"/>
                <w:spacing w:val="-2"/>
              </w:rPr>
              <w:t>264.07</w:t>
            </w:r>
          </w:p>
        </w:tc>
        <w:tc>
          <w:tcPr>
            <w:tcW w:w="1163" w:type="dxa"/>
            <w:vAlign w:val="top"/>
          </w:tcPr>
          <w:p>
            <w:pPr>
              <w:pStyle w:val="TableText"/>
              <w:ind w:right="22"/>
              <w:spacing w:before="138" w:line="183" w:lineRule="auto"/>
              <w:jc w:val="right"/>
              <w:rPr/>
            </w:pPr>
            <w:r>
              <w:rPr>
                <w:color w:val="212529"/>
                <w:spacing w:val="-2"/>
              </w:rPr>
              <w:t>264.07</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pStyle w:val="TableText"/>
              <w:ind w:left="406"/>
              <w:spacing w:before="139" w:line="184" w:lineRule="auto"/>
              <w:rPr/>
            </w:pPr>
            <w:r>
              <w:rPr>
                <w:color w:val="212529"/>
                <w:spacing w:val="-5"/>
              </w:rPr>
              <w:t>12.41</w:t>
            </w:r>
          </w:p>
        </w:tc>
        <w:tc>
          <w:tcPr>
            <w:tcW w:w="1163" w:type="dxa"/>
            <w:vAlign w:val="top"/>
          </w:tcPr>
          <w:p>
            <w:pPr>
              <w:pStyle w:val="TableText"/>
              <w:ind w:left="695"/>
              <w:spacing w:before="139" w:line="184" w:lineRule="auto"/>
              <w:rPr/>
            </w:pPr>
            <w:r>
              <w:rPr>
                <w:color w:val="212529"/>
                <w:spacing w:val="-5"/>
              </w:rPr>
              <w:t>12.41</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left="406"/>
              <w:spacing w:before="139" w:line="184" w:lineRule="auto"/>
              <w:rPr/>
            </w:pPr>
            <w:r>
              <w:rPr>
                <w:color w:val="212529"/>
                <w:spacing w:val="-5"/>
              </w:rPr>
              <w:t>18.71</w:t>
            </w:r>
          </w:p>
        </w:tc>
        <w:tc>
          <w:tcPr>
            <w:tcW w:w="1163" w:type="dxa"/>
            <w:vAlign w:val="top"/>
          </w:tcPr>
          <w:p>
            <w:pPr>
              <w:pStyle w:val="TableText"/>
              <w:ind w:left="695"/>
              <w:spacing w:before="139" w:line="184" w:lineRule="auto"/>
              <w:rPr/>
            </w:pPr>
            <w:r>
              <w:rPr>
                <w:color w:val="212529"/>
                <w:spacing w:val="-5"/>
              </w:rPr>
              <w:t>18.71</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left="406"/>
              <w:spacing w:before="141" w:line="184" w:lineRule="auto"/>
              <w:rPr/>
            </w:pPr>
            <w:r>
              <w:rPr>
                <w:color w:val="212529"/>
                <w:spacing w:val="-5"/>
              </w:rPr>
              <w:t>13.14</w:t>
            </w:r>
          </w:p>
        </w:tc>
        <w:tc>
          <w:tcPr>
            <w:tcW w:w="1163" w:type="dxa"/>
            <w:vAlign w:val="top"/>
          </w:tcPr>
          <w:p>
            <w:pPr>
              <w:pStyle w:val="TableText"/>
              <w:ind w:left="695"/>
              <w:spacing w:before="141" w:line="184" w:lineRule="auto"/>
              <w:rPr/>
            </w:pPr>
            <w:r>
              <w:rPr>
                <w:color w:val="212529"/>
                <w:spacing w:val="-5"/>
              </w:rPr>
              <w:t>13.14</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pStyle w:val="TableText"/>
              <w:ind w:right="23"/>
              <w:spacing w:before="142" w:line="183" w:lineRule="auto"/>
              <w:jc w:val="right"/>
              <w:rPr/>
            </w:pPr>
            <w:r>
              <w:rPr>
                <w:color w:val="212529"/>
                <w:spacing w:val="-3"/>
              </w:rPr>
              <w:t>0.96</w:t>
            </w:r>
          </w:p>
        </w:tc>
        <w:tc>
          <w:tcPr>
            <w:tcW w:w="1163" w:type="dxa"/>
            <w:vAlign w:val="top"/>
          </w:tcPr>
          <w:p>
            <w:pPr>
              <w:pStyle w:val="TableText"/>
              <w:ind w:right="22"/>
              <w:spacing w:before="142" w:line="183" w:lineRule="auto"/>
              <w:jc w:val="right"/>
              <w:rPr/>
            </w:pPr>
            <w:r>
              <w:rPr>
                <w:color w:val="212529"/>
                <w:spacing w:val="-3"/>
              </w:rPr>
              <w:t>0.96</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pStyle w:val="BodyText"/>
        <w:rPr/>
      </w:pPr>
      <w:r/>
    </w:p>
    <w:p>
      <w:pPr>
        <w:sectPr>
          <w:footerReference w:type="default" r:id="rId7"/>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20"/>
              <w:spacing w:before="139" w:line="183" w:lineRule="auto"/>
              <w:rPr/>
            </w:pPr>
            <w:r>
              <w:rPr>
                <w:color w:val="212529"/>
                <w:spacing w:val="-2"/>
              </w:rPr>
              <w:t>309.29</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9" w:line="183" w:lineRule="auto"/>
              <w:jc w:val="right"/>
              <w:rPr/>
            </w:pPr>
            <w:r>
              <w:rPr>
                <w:color w:val="212529"/>
                <w:spacing w:val="-2"/>
              </w:rPr>
              <w:t>309.29</w:t>
            </w:r>
          </w:p>
        </w:tc>
        <w:tc>
          <w:tcPr>
            <w:tcW w:w="1163" w:type="dxa"/>
            <w:vAlign w:val="top"/>
          </w:tcPr>
          <w:p>
            <w:pPr>
              <w:pStyle w:val="TableText"/>
              <w:ind w:right="22"/>
              <w:spacing w:before="139" w:line="183" w:lineRule="auto"/>
              <w:jc w:val="right"/>
              <w:rPr/>
            </w:pPr>
            <w:r>
              <w:rPr>
                <w:color w:val="212529"/>
                <w:spacing w:val="-2"/>
              </w:rPr>
              <w:t>309.29</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20"/>
              <w:spacing w:before="140" w:line="183" w:lineRule="auto"/>
              <w:rPr/>
            </w:pPr>
            <w:r>
              <w:rPr>
                <w:color w:val="212529"/>
                <w:spacing w:val="-2"/>
              </w:rPr>
              <w:t>309.29</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40" w:line="183" w:lineRule="auto"/>
              <w:jc w:val="right"/>
              <w:rPr/>
            </w:pPr>
            <w:r>
              <w:rPr>
                <w:color w:val="212529"/>
                <w:spacing w:val="-2"/>
              </w:rPr>
              <w:t>309.29</w:t>
            </w:r>
          </w:p>
        </w:tc>
        <w:tc>
          <w:tcPr>
            <w:tcW w:w="1163" w:type="dxa"/>
            <w:vAlign w:val="top"/>
          </w:tcPr>
          <w:p>
            <w:pPr>
              <w:pStyle w:val="TableText"/>
              <w:ind w:right="22"/>
              <w:spacing w:before="140" w:line="183" w:lineRule="auto"/>
              <w:jc w:val="right"/>
              <w:rPr/>
            </w:pPr>
            <w:r>
              <w:rPr>
                <w:color w:val="212529"/>
                <w:spacing w:val="-2"/>
              </w:rPr>
              <w:t>309.29</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8"/>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04"/>
        <w:gridCol w:w="2650"/>
        <w:gridCol w:w="1594"/>
        <w:gridCol w:w="1451"/>
        <w:gridCol w:w="1517"/>
      </w:tblGrid>
      <w:tr>
        <w:trPr>
          <w:trHeight w:val="331"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22"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80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650"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9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17" w:type="dxa"/>
            <w:vAlign w:val="top"/>
            <w:tcBorders>
              <w:bottom w:val="single" w:color="FFFFFF" w:sz="4" w:space="0"/>
              <w:top w:val="single" w:color="FFFFFF" w:sz="4" w:space="0"/>
              <w:left w:val="single" w:color="FFFFFF" w:sz="2" w:space="0"/>
              <w:right w:val="single" w:color="FFFFFF" w:sz="2" w:space="0"/>
            </w:tcBorders>
          </w:tcPr>
          <w:p>
            <w:pPr>
              <w:pStyle w:val="TableText"/>
              <w:ind w:left="917"/>
              <w:spacing w:before="5" w:line="226" w:lineRule="auto"/>
              <w:rPr>
                <w:sz w:val="14"/>
                <w:szCs w:val="14"/>
              </w:rPr>
            </w:pPr>
            <w:r>
              <w:rPr>
                <w:sz w:val="14"/>
                <w:szCs w:val="14"/>
                <w:color w:val="212529"/>
              </w:rPr>
              <w:t>公开05表</w:t>
            </w:r>
          </w:p>
        </w:tc>
      </w:tr>
      <w:tr>
        <w:trPr>
          <w:trHeight w:val="337" w:hRule="atLeast"/>
        </w:trPr>
        <w:tc>
          <w:tcPr>
            <w:tcW w:w="4454" w:type="dxa"/>
            <w:vAlign w:val="top"/>
            <w:gridSpan w:val="2"/>
            <w:tcBorders>
              <w:top w:val="single" w:color="FFFFFF" w:sz="4" w:space="0"/>
              <w:left w:val="single" w:color="000000" w:sz="2" w:space="0"/>
              <w:right w:val="single" w:color="000000" w:sz="2" w:space="0"/>
            </w:tcBorders>
          </w:tcPr>
          <w:p>
            <w:pPr>
              <w:pStyle w:val="TableText"/>
              <w:ind w:left="11"/>
              <w:spacing w:before="90" w:line="224" w:lineRule="auto"/>
              <w:rPr>
                <w:sz w:val="14"/>
                <w:szCs w:val="14"/>
              </w:rPr>
            </w:pPr>
            <w:r>
              <w:rPr>
                <w:sz w:val="14"/>
                <w:szCs w:val="14"/>
                <w:color w:val="212529"/>
                <w:spacing w:val="3"/>
              </w:rPr>
              <w:t>部门名称：中国共产党古县委员会宣传部</w:t>
            </w:r>
          </w:p>
        </w:tc>
        <w:tc>
          <w:tcPr>
            <w:tcW w:w="1594" w:type="dxa"/>
            <w:vAlign w:val="top"/>
            <w:tcBorders>
              <w:top w:val="single" w:color="FFFFFF" w:sz="4" w:space="0"/>
              <w:right w:val="single" w:color="FFFFFF" w:sz="2" w:space="0"/>
              <w:left w:val="single" w:color="000000" w:sz="2" w:space="0"/>
            </w:tcBorders>
          </w:tcPr>
          <w:p>
            <w:pPr>
              <w:pStyle w:val="TableText"/>
              <w:ind w:left="503"/>
              <w:spacing w:before="174" w:line="201" w:lineRule="auto"/>
              <w:rPr>
                <w:sz w:val="14"/>
                <w:szCs w:val="14"/>
              </w:rPr>
            </w:pPr>
            <w:r>
              <w:rPr>
                <w:sz w:val="14"/>
                <w:szCs w:val="14"/>
                <w:color w:val="212529"/>
                <w:spacing w:val="1"/>
              </w:rPr>
              <w:t>2023年度</w:t>
            </w:r>
          </w:p>
        </w:tc>
        <w:tc>
          <w:tcPr>
            <w:tcW w:w="1451" w:type="dxa"/>
            <w:vAlign w:val="top"/>
            <w:tcBorders>
              <w:top w:val="single" w:color="FFFFFF" w:sz="4" w:space="0"/>
              <w:left w:val="single" w:color="FFFFFF" w:sz="2" w:space="0"/>
              <w:right w:val="single" w:color="FFFFFF" w:sz="2" w:space="0"/>
            </w:tcBorders>
          </w:tcPr>
          <w:p>
            <w:pPr>
              <w:rPr>
                <w:rFonts w:ascii="Arial"/>
                <w:sz w:val="21"/>
              </w:rPr>
            </w:pPr>
            <w:r/>
          </w:p>
        </w:tc>
        <w:tc>
          <w:tcPr>
            <w:tcW w:w="1517" w:type="dxa"/>
            <w:vAlign w:val="top"/>
            <w:tcBorders>
              <w:top w:val="single" w:color="FFFFFF" w:sz="4" w:space="0"/>
              <w:left w:val="single" w:color="FFFFFF" w:sz="2" w:space="0"/>
              <w:right w:val="single" w:color="000000" w:sz="2" w:space="0"/>
            </w:tcBorders>
          </w:tcPr>
          <w:p>
            <w:pPr>
              <w:pStyle w:val="TableText"/>
              <w:ind w:left="482"/>
              <w:spacing w:before="90" w:line="225" w:lineRule="auto"/>
              <w:rPr>
                <w:sz w:val="14"/>
                <w:szCs w:val="14"/>
              </w:rPr>
            </w:pPr>
            <w:r>
              <w:rPr>
                <w:sz w:val="14"/>
                <w:szCs w:val="14"/>
                <w:color w:val="212529"/>
                <w:spacing w:val="2"/>
              </w:rPr>
              <w:t>金额单位：万元</w:t>
            </w:r>
          </w:p>
        </w:tc>
      </w:tr>
      <w:tr>
        <w:trPr>
          <w:trHeight w:val="325" w:hRule="atLeast"/>
        </w:trPr>
        <w:tc>
          <w:tcPr>
            <w:tcW w:w="4454" w:type="dxa"/>
            <w:vAlign w:val="top"/>
            <w:gridSpan w:val="2"/>
          </w:tcPr>
          <w:p>
            <w:pPr>
              <w:ind w:left="2025"/>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562" w:type="dxa"/>
            <w:vAlign w:val="top"/>
            <w:gridSpan w:val="3"/>
          </w:tcPr>
          <w:p>
            <w:pPr>
              <w:ind w:left="1899"/>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5" w:hRule="atLeast"/>
        </w:trPr>
        <w:tc>
          <w:tcPr>
            <w:tcW w:w="1804" w:type="dxa"/>
            <w:vAlign w:val="top"/>
          </w:tcPr>
          <w:p>
            <w:pPr>
              <w:ind w:left="519"/>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650" w:type="dxa"/>
            <w:vAlign w:val="top"/>
          </w:tcPr>
          <w:p>
            <w:pPr>
              <w:ind w:left="941"/>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594" w:type="dxa"/>
            <w:vAlign w:val="top"/>
          </w:tcPr>
          <w:p>
            <w:pPr>
              <w:ind w:left="597"/>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51" w:type="dxa"/>
            <w:vAlign w:val="top"/>
          </w:tcPr>
          <w:p>
            <w:pPr>
              <w:ind w:left="350"/>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517" w:type="dxa"/>
            <w:vAlign w:val="top"/>
          </w:tcPr>
          <w:p>
            <w:pPr>
              <w:ind w:left="378"/>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5" w:hRule="atLeast"/>
        </w:trPr>
        <w:tc>
          <w:tcPr>
            <w:tcW w:w="4454" w:type="dxa"/>
            <w:vAlign w:val="top"/>
            <w:gridSpan w:val="2"/>
          </w:tcPr>
          <w:p>
            <w:pPr>
              <w:ind w:left="2023"/>
              <w:spacing w:before="6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594" w:type="dxa"/>
            <w:vAlign w:val="top"/>
          </w:tcPr>
          <w:p>
            <w:pPr>
              <w:pStyle w:val="TableText"/>
              <w:ind w:left="747"/>
              <w:spacing w:before="90" w:line="184" w:lineRule="auto"/>
              <w:rPr/>
            </w:pPr>
            <w:r>
              <w:rPr>
                <w:color w:val="212529"/>
              </w:rPr>
              <w:t>1</w:t>
            </w:r>
          </w:p>
        </w:tc>
        <w:tc>
          <w:tcPr>
            <w:tcW w:w="1451" w:type="dxa"/>
            <w:vAlign w:val="top"/>
          </w:tcPr>
          <w:p>
            <w:pPr>
              <w:pStyle w:val="TableText"/>
              <w:ind w:left="667"/>
              <w:spacing w:before="91" w:line="183" w:lineRule="auto"/>
              <w:rPr/>
            </w:pPr>
            <w:r>
              <w:rPr>
                <w:color w:val="212529"/>
              </w:rPr>
              <w:t>2</w:t>
            </w:r>
          </w:p>
        </w:tc>
        <w:tc>
          <w:tcPr>
            <w:tcW w:w="1517" w:type="dxa"/>
            <w:vAlign w:val="top"/>
          </w:tcPr>
          <w:p>
            <w:pPr>
              <w:pStyle w:val="TableText"/>
              <w:ind w:left="699"/>
              <w:spacing w:before="91" w:line="183" w:lineRule="auto"/>
              <w:rPr/>
            </w:pPr>
            <w:r>
              <w:rPr>
                <w:color w:val="212529"/>
              </w:rPr>
              <w:t>3</w:t>
            </w:r>
          </w:p>
        </w:tc>
      </w:tr>
      <w:tr>
        <w:trPr>
          <w:trHeight w:val="326" w:hRule="atLeast"/>
        </w:trPr>
        <w:tc>
          <w:tcPr>
            <w:tcW w:w="4454" w:type="dxa"/>
            <w:vAlign w:val="top"/>
            <w:gridSpan w:val="2"/>
          </w:tcPr>
          <w:p>
            <w:pPr>
              <w:pStyle w:val="TableText"/>
              <w:ind w:left="2032"/>
              <w:spacing w:before="63" w:line="221" w:lineRule="auto"/>
              <w:rPr/>
            </w:pPr>
            <w:r>
              <w:rPr>
                <w:color w:val="212529"/>
                <w:spacing w:val="-5"/>
              </w:rPr>
              <w:t>合计</w:t>
            </w:r>
          </w:p>
        </w:tc>
        <w:tc>
          <w:tcPr>
            <w:tcW w:w="1594" w:type="dxa"/>
            <w:vAlign w:val="top"/>
          </w:tcPr>
          <w:p>
            <w:pPr>
              <w:pStyle w:val="TableText"/>
              <w:ind w:right="23"/>
              <w:spacing w:before="92" w:line="183" w:lineRule="auto"/>
              <w:jc w:val="right"/>
              <w:rPr/>
            </w:pPr>
            <w:r>
              <w:rPr>
                <w:color w:val="212529"/>
                <w:spacing w:val="-2"/>
              </w:rPr>
              <w:t>309.29</w:t>
            </w:r>
          </w:p>
        </w:tc>
        <w:tc>
          <w:tcPr>
            <w:tcW w:w="1451" w:type="dxa"/>
            <w:vAlign w:val="top"/>
          </w:tcPr>
          <w:p>
            <w:pPr>
              <w:pStyle w:val="TableText"/>
              <w:ind w:right="21"/>
              <w:spacing w:before="91" w:line="184" w:lineRule="auto"/>
              <w:jc w:val="right"/>
              <w:rPr/>
            </w:pPr>
            <w:r>
              <w:rPr>
                <w:color w:val="212529"/>
                <w:spacing w:val="-4"/>
              </w:rPr>
              <w:t>163.78</w:t>
            </w:r>
          </w:p>
        </w:tc>
        <w:tc>
          <w:tcPr>
            <w:tcW w:w="1517" w:type="dxa"/>
            <w:vAlign w:val="top"/>
          </w:tcPr>
          <w:p>
            <w:pPr>
              <w:pStyle w:val="TableText"/>
              <w:ind w:right="26"/>
              <w:spacing w:before="91" w:line="184" w:lineRule="auto"/>
              <w:jc w:val="right"/>
              <w:rPr/>
            </w:pPr>
            <w:r>
              <w:rPr>
                <w:color w:val="212529"/>
                <w:spacing w:val="-4"/>
              </w:rPr>
              <w:t>145.50</w:t>
            </w:r>
          </w:p>
        </w:tc>
      </w:tr>
      <w:tr>
        <w:trPr>
          <w:trHeight w:val="326" w:hRule="atLeast"/>
        </w:trPr>
        <w:tc>
          <w:tcPr>
            <w:tcW w:w="1804" w:type="dxa"/>
            <w:vAlign w:val="top"/>
          </w:tcPr>
          <w:p>
            <w:pPr>
              <w:pStyle w:val="TableText"/>
              <w:ind w:left="11"/>
              <w:spacing w:before="91" w:line="184" w:lineRule="auto"/>
              <w:rPr/>
            </w:pPr>
            <w:r>
              <w:rPr>
                <w:color w:val="212529"/>
                <w:spacing w:val="-4"/>
              </w:rPr>
              <w:t>201</w:t>
            </w:r>
          </w:p>
        </w:tc>
        <w:tc>
          <w:tcPr>
            <w:tcW w:w="2650" w:type="dxa"/>
            <w:vAlign w:val="top"/>
          </w:tcPr>
          <w:p>
            <w:pPr>
              <w:pStyle w:val="TableText"/>
              <w:ind w:left="8"/>
              <w:spacing w:before="64" w:line="219" w:lineRule="auto"/>
              <w:rPr/>
            </w:pPr>
            <w:r>
              <w:rPr>
                <w:color w:val="212529"/>
                <w:spacing w:val="-2"/>
              </w:rPr>
              <w:t>一般公共服务支出</w:t>
            </w:r>
          </w:p>
        </w:tc>
        <w:tc>
          <w:tcPr>
            <w:tcW w:w="1594" w:type="dxa"/>
            <w:vAlign w:val="top"/>
          </w:tcPr>
          <w:p>
            <w:pPr>
              <w:pStyle w:val="TableText"/>
              <w:ind w:right="23"/>
              <w:spacing w:before="92" w:line="183" w:lineRule="auto"/>
              <w:jc w:val="right"/>
              <w:rPr/>
            </w:pPr>
            <w:r>
              <w:rPr>
                <w:color w:val="212529"/>
                <w:spacing w:val="-2"/>
              </w:rPr>
              <w:t>264.07</w:t>
            </w:r>
          </w:p>
        </w:tc>
        <w:tc>
          <w:tcPr>
            <w:tcW w:w="1451" w:type="dxa"/>
            <w:vAlign w:val="top"/>
          </w:tcPr>
          <w:p>
            <w:pPr>
              <w:pStyle w:val="TableText"/>
              <w:ind w:right="21"/>
              <w:spacing w:before="91" w:line="184" w:lineRule="auto"/>
              <w:jc w:val="right"/>
              <w:rPr/>
            </w:pPr>
            <w:r>
              <w:rPr>
                <w:color w:val="212529"/>
                <w:spacing w:val="-4"/>
              </w:rPr>
              <w:t>131.94</w:t>
            </w:r>
          </w:p>
        </w:tc>
        <w:tc>
          <w:tcPr>
            <w:tcW w:w="1517" w:type="dxa"/>
            <w:vAlign w:val="top"/>
          </w:tcPr>
          <w:p>
            <w:pPr>
              <w:pStyle w:val="TableText"/>
              <w:ind w:right="26"/>
              <w:spacing w:before="91" w:line="184" w:lineRule="auto"/>
              <w:jc w:val="right"/>
              <w:rPr/>
            </w:pPr>
            <w:r>
              <w:rPr>
                <w:color w:val="212529"/>
                <w:spacing w:val="-4"/>
              </w:rPr>
              <w:t>132.13</w:t>
            </w:r>
          </w:p>
        </w:tc>
      </w:tr>
      <w:tr>
        <w:trPr>
          <w:trHeight w:val="326" w:hRule="atLeast"/>
        </w:trPr>
        <w:tc>
          <w:tcPr>
            <w:tcW w:w="1804" w:type="dxa"/>
            <w:vAlign w:val="top"/>
          </w:tcPr>
          <w:p>
            <w:pPr>
              <w:pStyle w:val="TableText"/>
              <w:ind w:left="11"/>
              <w:spacing w:before="91" w:line="184" w:lineRule="auto"/>
              <w:rPr/>
            </w:pPr>
            <w:r>
              <w:rPr>
                <w:color w:val="212529"/>
                <w:spacing w:val="-2"/>
              </w:rPr>
              <w:t>20133</w:t>
            </w:r>
          </w:p>
        </w:tc>
        <w:tc>
          <w:tcPr>
            <w:tcW w:w="2650" w:type="dxa"/>
            <w:vAlign w:val="top"/>
          </w:tcPr>
          <w:p>
            <w:pPr>
              <w:pStyle w:val="TableText"/>
              <w:ind w:left="8"/>
              <w:spacing w:before="63" w:line="219" w:lineRule="auto"/>
              <w:rPr/>
            </w:pPr>
            <w:r>
              <w:rPr>
                <w:color w:val="212529"/>
                <w:spacing w:val="-3"/>
              </w:rPr>
              <w:t>宣传事务</w:t>
            </w:r>
          </w:p>
        </w:tc>
        <w:tc>
          <w:tcPr>
            <w:tcW w:w="1594" w:type="dxa"/>
            <w:vAlign w:val="top"/>
          </w:tcPr>
          <w:p>
            <w:pPr>
              <w:pStyle w:val="TableText"/>
              <w:ind w:right="23"/>
              <w:spacing w:before="92" w:line="183" w:lineRule="auto"/>
              <w:jc w:val="right"/>
              <w:rPr/>
            </w:pPr>
            <w:r>
              <w:rPr>
                <w:color w:val="212529"/>
                <w:spacing w:val="-2"/>
              </w:rPr>
              <w:t>264.07</w:t>
            </w:r>
          </w:p>
        </w:tc>
        <w:tc>
          <w:tcPr>
            <w:tcW w:w="1451" w:type="dxa"/>
            <w:vAlign w:val="top"/>
          </w:tcPr>
          <w:p>
            <w:pPr>
              <w:pStyle w:val="TableText"/>
              <w:ind w:right="21"/>
              <w:spacing w:before="91" w:line="184" w:lineRule="auto"/>
              <w:jc w:val="right"/>
              <w:rPr/>
            </w:pPr>
            <w:r>
              <w:rPr>
                <w:color w:val="212529"/>
                <w:spacing w:val="-4"/>
              </w:rPr>
              <w:t>131.94</w:t>
            </w:r>
          </w:p>
        </w:tc>
        <w:tc>
          <w:tcPr>
            <w:tcW w:w="1517" w:type="dxa"/>
            <w:vAlign w:val="top"/>
          </w:tcPr>
          <w:p>
            <w:pPr>
              <w:pStyle w:val="TableText"/>
              <w:ind w:right="26"/>
              <w:spacing w:before="91" w:line="184" w:lineRule="auto"/>
              <w:jc w:val="right"/>
              <w:rPr/>
            </w:pPr>
            <w:r>
              <w:rPr>
                <w:color w:val="212529"/>
                <w:spacing w:val="-4"/>
              </w:rPr>
              <w:t>132.13</w:t>
            </w:r>
          </w:p>
        </w:tc>
      </w:tr>
      <w:tr>
        <w:trPr>
          <w:trHeight w:val="326" w:hRule="atLeast"/>
        </w:trPr>
        <w:tc>
          <w:tcPr>
            <w:tcW w:w="1804" w:type="dxa"/>
            <w:vAlign w:val="top"/>
          </w:tcPr>
          <w:p>
            <w:pPr>
              <w:pStyle w:val="TableText"/>
              <w:ind w:left="11"/>
              <w:spacing w:before="91" w:line="184" w:lineRule="auto"/>
              <w:rPr/>
            </w:pPr>
            <w:r>
              <w:rPr>
                <w:color w:val="212529"/>
                <w:spacing w:val="-2"/>
              </w:rPr>
              <w:t>2013301</w:t>
            </w:r>
          </w:p>
        </w:tc>
        <w:tc>
          <w:tcPr>
            <w:tcW w:w="2650" w:type="dxa"/>
            <w:vAlign w:val="top"/>
          </w:tcPr>
          <w:p>
            <w:pPr>
              <w:pStyle w:val="TableText"/>
              <w:ind w:left="8"/>
              <w:spacing w:before="64" w:line="220" w:lineRule="auto"/>
              <w:rPr/>
            </w:pPr>
            <w:r>
              <w:rPr>
                <w:color w:val="212529"/>
                <w:spacing w:val="-3"/>
              </w:rPr>
              <w:t>行政运行</w:t>
            </w:r>
          </w:p>
        </w:tc>
        <w:tc>
          <w:tcPr>
            <w:tcW w:w="1594" w:type="dxa"/>
            <w:vAlign w:val="top"/>
          </w:tcPr>
          <w:p>
            <w:pPr>
              <w:pStyle w:val="TableText"/>
              <w:ind w:right="23"/>
              <w:spacing w:before="91" w:line="184" w:lineRule="auto"/>
              <w:jc w:val="right"/>
              <w:rPr/>
            </w:pPr>
            <w:r>
              <w:rPr>
                <w:color w:val="212529"/>
                <w:spacing w:val="-2"/>
              </w:rPr>
              <w:t>241.86</w:t>
            </w:r>
          </w:p>
        </w:tc>
        <w:tc>
          <w:tcPr>
            <w:tcW w:w="1451" w:type="dxa"/>
            <w:vAlign w:val="top"/>
          </w:tcPr>
          <w:p>
            <w:pPr>
              <w:pStyle w:val="TableText"/>
              <w:ind w:right="21"/>
              <w:spacing w:before="91" w:line="184" w:lineRule="auto"/>
              <w:jc w:val="right"/>
              <w:rPr/>
            </w:pPr>
            <w:r>
              <w:rPr>
                <w:color w:val="212529"/>
                <w:spacing w:val="-4"/>
              </w:rPr>
              <w:t>109.73</w:t>
            </w:r>
          </w:p>
        </w:tc>
        <w:tc>
          <w:tcPr>
            <w:tcW w:w="1517" w:type="dxa"/>
            <w:vAlign w:val="top"/>
          </w:tcPr>
          <w:p>
            <w:pPr>
              <w:pStyle w:val="TableText"/>
              <w:ind w:right="26"/>
              <w:spacing w:before="91" w:line="184" w:lineRule="auto"/>
              <w:jc w:val="right"/>
              <w:rPr/>
            </w:pPr>
            <w:r>
              <w:rPr>
                <w:color w:val="212529"/>
                <w:spacing w:val="-4"/>
              </w:rPr>
              <w:t>132.13</w:t>
            </w:r>
          </w:p>
        </w:tc>
      </w:tr>
      <w:tr>
        <w:trPr>
          <w:trHeight w:val="326" w:hRule="atLeast"/>
        </w:trPr>
        <w:tc>
          <w:tcPr>
            <w:tcW w:w="1804" w:type="dxa"/>
            <w:vAlign w:val="top"/>
          </w:tcPr>
          <w:p>
            <w:pPr>
              <w:pStyle w:val="TableText"/>
              <w:ind w:left="11"/>
              <w:spacing w:before="92" w:line="184" w:lineRule="auto"/>
              <w:rPr/>
            </w:pPr>
            <w:r>
              <w:rPr>
                <w:color w:val="212529"/>
                <w:spacing w:val="-2"/>
              </w:rPr>
              <w:t>2013350</w:t>
            </w:r>
          </w:p>
        </w:tc>
        <w:tc>
          <w:tcPr>
            <w:tcW w:w="2650" w:type="dxa"/>
            <w:vAlign w:val="top"/>
          </w:tcPr>
          <w:p>
            <w:pPr>
              <w:pStyle w:val="TableText"/>
              <w:ind w:left="5"/>
              <w:spacing w:before="64" w:line="220" w:lineRule="auto"/>
              <w:rPr/>
            </w:pPr>
            <w:r>
              <w:rPr>
                <w:color w:val="212529"/>
                <w:spacing w:val="-3"/>
              </w:rPr>
              <w:t>事业运行</w:t>
            </w:r>
          </w:p>
        </w:tc>
        <w:tc>
          <w:tcPr>
            <w:tcW w:w="1594" w:type="dxa"/>
            <w:vAlign w:val="top"/>
          </w:tcPr>
          <w:p>
            <w:pPr>
              <w:pStyle w:val="TableText"/>
              <w:ind w:left="1114"/>
              <w:spacing w:before="92" w:line="183" w:lineRule="auto"/>
              <w:rPr/>
            </w:pPr>
            <w:r>
              <w:rPr>
                <w:color w:val="212529"/>
                <w:spacing w:val="-2"/>
              </w:rPr>
              <w:t>22.20</w:t>
            </w:r>
          </w:p>
        </w:tc>
        <w:tc>
          <w:tcPr>
            <w:tcW w:w="1451" w:type="dxa"/>
            <w:vAlign w:val="top"/>
          </w:tcPr>
          <w:p>
            <w:pPr>
              <w:pStyle w:val="TableText"/>
              <w:ind w:left="973"/>
              <w:spacing w:before="92" w:line="183" w:lineRule="auto"/>
              <w:rPr/>
            </w:pPr>
            <w:r>
              <w:rPr>
                <w:color w:val="212529"/>
                <w:spacing w:val="-2"/>
              </w:rPr>
              <w:t>22.20</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3" w:line="183" w:lineRule="auto"/>
              <w:rPr/>
            </w:pPr>
            <w:r>
              <w:rPr>
                <w:color w:val="212529"/>
                <w:spacing w:val="-4"/>
              </w:rPr>
              <w:t>207</w:t>
            </w:r>
          </w:p>
        </w:tc>
        <w:tc>
          <w:tcPr>
            <w:tcW w:w="2650" w:type="dxa"/>
            <w:vAlign w:val="top"/>
          </w:tcPr>
          <w:p>
            <w:pPr>
              <w:pStyle w:val="TableText"/>
              <w:ind w:left="6"/>
              <w:spacing w:before="64" w:line="219" w:lineRule="auto"/>
              <w:rPr/>
            </w:pPr>
            <w:r>
              <w:rPr>
                <w:color w:val="212529"/>
                <w:spacing w:val="-1"/>
              </w:rPr>
              <w:t>文化旅游体育与传媒支出</w:t>
            </w:r>
          </w:p>
        </w:tc>
        <w:tc>
          <w:tcPr>
            <w:tcW w:w="1594" w:type="dxa"/>
            <w:vAlign w:val="top"/>
          </w:tcPr>
          <w:p>
            <w:pPr>
              <w:pStyle w:val="TableText"/>
              <w:ind w:left="1125"/>
              <w:spacing w:before="91" w:line="184" w:lineRule="auto"/>
              <w:rPr/>
            </w:pPr>
            <w:r>
              <w:rPr>
                <w:color w:val="212529"/>
                <w:spacing w:val="-5"/>
              </w:rPr>
              <w:t>12.41</w:t>
            </w:r>
          </w:p>
        </w:tc>
        <w:tc>
          <w:tcPr>
            <w:tcW w:w="1451" w:type="dxa"/>
            <w:vAlign w:val="top"/>
          </w:tcPr>
          <w:p>
            <w:pPr>
              <w:rPr>
                <w:rFonts w:ascii="Arial"/>
                <w:sz w:val="21"/>
              </w:rPr>
            </w:pPr>
            <w:r/>
          </w:p>
        </w:tc>
        <w:tc>
          <w:tcPr>
            <w:tcW w:w="1517" w:type="dxa"/>
            <w:vAlign w:val="top"/>
          </w:tcPr>
          <w:p>
            <w:pPr>
              <w:pStyle w:val="TableText"/>
              <w:ind w:left="1045"/>
              <w:spacing w:before="91" w:line="184" w:lineRule="auto"/>
              <w:rPr/>
            </w:pPr>
            <w:r>
              <w:rPr>
                <w:color w:val="212529"/>
                <w:spacing w:val="-5"/>
              </w:rPr>
              <w:t>12.41</w:t>
            </w:r>
          </w:p>
        </w:tc>
      </w:tr>
      <w:tr>
        <w:trPr>
          <w:trHeight w:val="326" w:hRule="atLeast"/>
        </w:trPr>
        <w:tc>
          <w:tcPr>
            <w:tcW w:w="1804" w:type="dxa"/>
            <w:vAlign w:val="top"/>
          </w:tcPr>
          <w:p>
            <w:pPr>
              <w:pStyle w:val="TableText"/>
              <w:ind w:left="11"/>
              <w:spacing w:before="93" w:line="183" w:lineRule="auto"/>
              <w:rPr/>
            </w:pPr>
            <w:r>
              <w:rPr>
                <w:color w:val="212529"/>
                <w:spacing w:val="-2"/>
              </w:rPr>
              <w:t>20799</w:t>
            </w:r>
          </w:p>
        </w:tc>
        <w:tc>
          <w:tcPr>
            <w:tcW w:w="2650" w:type="dxa"/>
            <w:vAlign w:val="top"/>
          </w:tcPr>
          <w:p>
            <w:pPr>
              <w:pStyle w:val="TableText"/>
              <w:ind w:left="6"/>
              <w:spacing w:before="64" w:line="219" w:lineRule="auto"/>
              <w:rPr/>
            </w:pPr>
            <w:r>
              <w:rPr>
                <w:color w:val="212529"/>
                <w:spacing w:val="-1"/>
              </w:rPr>
              <w:t>其他文化旅游体育与传媒支出</w:t>
            </w:r>
          </w:p>
        </w:tc>
        <w:tc>
          <w:tcPr>
            <w:tcW w:w="1594" w:type="dxa"/>
            <w:vAlign w:val="top"/>
          </w:tcPr>
          <w:p>
            <w:pPr>
              <w:pStyle w:val="TableText"/>
              <w:ind w:left="1125"/>
              <w:spacing w:before="92" w:line="184" w:lineRule="auto"/>
              <w:rPr/>
            </w:pPr>
            <w:r>
              <w:rPr>
                <w:color w:val="212529"/>
                <w:spacing w:val="-5"/>
              </w:rPr>
              <w:t>12.41</w:t>
            </w:r>
          </w:p>
        </w:tc>
        <w:tc>
          <w:tcPr>
            <w:tcW w:w="1451" w:type="dxa"/>
            <w:vAlign w:val="top"/>
          </w:tcPr>
          <w:p>
            <w:pPr>
              <w:rPr>
                <w:rFonts w:ascii="Arial"/>
                <w:sz w:val="21"/>
              </w:rPr>
            </w:pPr>
            <w:r/>
          </w:p>
        </w:tc>
        <w:tc>
          <w:tcPr>
            <w:tcW w:w="1517" w:type="dxa"/>
            <w:vAlign w:val="top"/>
          </w:tcPr>
          <w:p>
            <w:pPr>
              <w:pStyle w:val="TableText"/>
              <w:ind w:left="1045"/>
              <w:spacing w:before="92" w:line="184" w:lineRule="auto"/>
              <w:rPr/>
            </w:pPr>
            <w:r>
              <w:rPr>
                <w:color w:val="212529"/>
                <w:spacing w:val="-5"/>
              </w:rPr>
              <w:t>12.41</w:t>
            </w:r>
          </w:p>
        </w:tc>
      </w:tr>
      <w:tr>
        <w:trPr>
          <w:trHeight w:val="326" w:hRule="atLeast"/>
        </w:trPr>
        <w:tc>
          <w:tcPr>
            <w:tcW w:w="1804" w:type="dxa"/>
            <w:vAlign w:val="top"/>
          </w:tcPr>
          <w:p>
            <w:pPr>
              <w:pStyle w:val="TableText"/>
              <w:ind w:left="11"/>
              <w:spacing w:before="93" w:line="183" w:lineRule="auto"/>
              <w:rPr/>
            </w:pPr>
            <w:r>
              <w:rPr>
                <w:color w:val="212529"/>
                <w:spacing w:val="-2"/>
              </w:rPr>
              <w:t>2079999</w:t>
            </w:r>
          </w:p>
        </w:tc>
        <w:tc>
          <w:tcPr>
            <w:tcW w:w="2650" w:type="dxa"/>
            <w:vAlign w:val="top"/>
          </w:tcPr>
          <w:p>
            <w:pPr>
              <w:pStyle w:val="TableText"/>
              <w:ind w:left="6"/>
              <w:spacing w:before="64" w:line="219" w:lineRule="auto"/>
              <w:rPr/>
            </w:pPr>
            <w:r>
              <w:rPr>
                <w:color w:val="212529"/>
                <w:spacing w:val="-1"/>
              </w:rPr>
              <w:t>其他文化旅游体育与传媒支出</w:t>
            </w:r>
          </w:p>
        </w:tc>
        <w:tc>
          <w:tcPr>
            <w:tcW w:w="1594" w:type="dxa"/>
            <w:vAlign w:val="top"/>
          </w:tcPr>
          <w:p>
            <w:pPr>
              <w:pStyle w:val="TableText"/>
              <w:ind w:left="1125"/>
              <w:spacing w:before="92" w:line="184" w:lineRule="auto"/>
              <w:rPr/>
            </w:pPr>
            <w:r>
              <w:rPr>
                <w:color w:val="212529"/>
                <w:spacing w:val="-5"/>
              </w:rPr>
              <w:t>12.41</w:t>
            </w:r>
          </w:p>
        </w:tc>
        <w:tc>
          <w:tcPr>
            <w:tcW w:w="1451" w:type="dxa"/>
            <w:vAlign w:val="top"/>
          </w:tcPr>
          <w:p>
            <w:pPr>
              <w:rPr>
                <w:rFonts w:ascii="Arial"/>
                <w:sz w:val="21"/>
              </w:rPr>
            </w:pPr>
            <w:r/>
          </w:p>
        </w:tc>
        <w:tc>
          <w:tcPr>
            <w:tcW w:w="1517" w:type="dxa"/>
            <w:vAlign w:val="top"/>
          </w:tcPr>
          <w:p>
            <w:pPr>
              <w:pStyle w:val="TableText"/>
              <w:ind w:left="1045"/>
              <w:spacing w:before="92" w:line="184" w:lineRule="auto"/>
              <w:rPr/>
            </w:pPr>
            <w:r>
              <w:rPr>
                <w:color w:val="212529"/>
                <w:spacing w:val="-5"/>
              </w:rPr>
              <w:t>12.41</w:t>
            </w:r>
          </w:p>
        </w:tc>
      </w:tr>
      <w:tr>
        <w:trPr>
          <w:trHeight w:val="326" w:hRule="atLeast"/>
        </w:trPr>
        <w:tc>
          <w:tcPr>
            <w:tcW w:w="1804" w:type="dxa"/>
            <w:vAlign w:val="top"/>
          </w:tcPr>
          <w:p>
            <w:pPr>
              <w:pStyle w:val="TableText"/>
              <w:ind w:left="11"/>
              <w:spacing w:before="93" w:line="183" w:lineRule="auto"/>
              <w:rPr/>
            </w:pPr>
            <w:r>
              <w:rPr>
                <w:color w:val="212529"/>
                <w:spacing w:val="-4"/>
              </w:rPr>
              <w:t>208</w:t>
            </w:r>
          </w:p>
        </w:tc>
        <w:tc>
          <w:tcPr>
            <w:tcW w:w="2650" w:type="dxa"/>
            <w:vAlign w:val="top"/>
          </w:tcPr>
          <w:p>
            <w:pPr>
              <w:pStyle w:val="TableText"/>
              <w:ind w:left="6"/>
              <w:spacing w:before="64" w:line="219" w:lineRule="auto"/>
              <w:rPr/>
            </w:pPr>
            <w:r>
              <w:rPr>
                <w:color w:val="212529"/>
                <w:spacing w:val="-2"/>
              </w:rPr>
              <w:t>社会保障和就业支出</w:t>
            </w:r>
          </w:p>
        </w:tc>
        <w:tc>
          <w:tcPr>
            <w:tcW w:w="1594" w:type="dxa"/>
            <w:vAlign w:val="top"/>
          </w:tcPr>
          <w:p>
            <w:pPr>
              <w:pStyle w:val="TableText"/>
              <w:ind w:left="1125"/>
              <w:spacing w:before="92" w:line="184" w:lineRule="auto"/>
              <w:rPr/>
            </w:pPr>
            <w:r>
              <w:rPr>
                <w:color w:val="212529"/>
                <w:spacing w:val="-5"/>
              </w:rPr>
              <w:t>18.71</w:t>
            </w:r>
          </w:p>
        </w:tc>
        <w:tc>
          <w:tcPr>
            <w:tcW w:w="1451" w:type="dxa"/>
            <w:vAlign w:val="top"/>
          </w:tcPr>
          <w:p>
            <w:pPr>
              <w:pStyle w:val="TableText"/>
              <w:ind w:left="984"/>
              <w:spacing w:before="92" w:line="184" w:lineRule="auto"/>
              <w:rPr/>
            </w:pPr>
            <w:r>
              <w:rPr>
                <w:color w:val="212529"/>
                <w:spacing w:val="-5"/>
              </w:rPr>
              <w:t>18.71</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3" w:line="183" w:lineRule="auto"/>
              <w:rPr/>
            </w:pPr>
            <w:r>
              <w:rPr>
                <w:color w:val="212529"/>
                <w:spacing w:val="-2"/>
              </w:rPr>
              <w:t>20805</w:t>
            </w:r>
          </w:p>
        </w:tc>
        <w:tc>
          <w:tcPr>
            <w:tcW w:w="2650" w:type="dxa"/>
            <w:vAlign w:val="top"/>
          </w:tcPr>
          <w:p>
            <w:pPr>
              <w:pStyle w:val="TableText"/>
              <w:ind w:left="8"/>
              <w:spacing w:before="65" w:line="219" w:lineRule="auto"/>
              <w:rPr/>
            </w:pPr>
            <w:r>
              <w:rPr>
                <w:color w:val="212529"/>
                <w:spacing w:val="-2"/>
              </w:rPr>
              <w:t>行政事业单位养老支出</w:t>
            </w:r>
          </w:p>
        </w:tc>
        <w:tc>
          <w:tcPr>
            <w:tcW w:w="1594" w:type="dxa"/>
            <w:vAlign w:val="top"/>
          </w:tcPr>
          <w:p>
            <w:pPr>
              <w:pStyle w:val="TableText"/>
              <w:ind w:left="1125"/>
              <w:spacing w:before="92" w:line="184" w:lineRule="auto"/>
              <w:rPr/>
            </w:pPr>
            <w:r>
              <w:rPr>
                <w:color w:val="212529"/>
                <w:spacing w:val="-5"/>
              </w:rPr>
              <w:t>18.71</w:t>
            </w:r>
          </w:p>
        </w:tc>
        <w:tc>
          <w:tcPr>
            <w:tcW w:w="1451" w:type="dxa"/>
            <w:vAlign w:val="top"/>
          </w:tcPr>
          <w:p>
            <w:pPr>
              <w:pStyle w:val="TableText"/>
              <w:ind w:left="984"/>
              <w:spacing w:before="92" w:line="184" w:lineRule="auto"/>
              <w:rPr/>
            </w:pPr>
            <w:r>
              <w:rPr>
                <w:color w:val="212529"/>
                <w:spacing w:val="-5"/>
              </w:rPr>
              <w:t>18.71</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2" w:line="184" w:lineRule="auto"/>
              <w:rPr/>
            </w:pPr>
            <w:r>
              <w:rPr>
                <w:color w:val="212529"/>
                <w:spacing w:val="-2"/>
              </w:rPr>
              <w:t>2080501</w:t>
            </w:r>
          </w:p>
        </w:tc>
        <w:tc>
          <w:tcPr>
            <w:tcW w:w="2650" w:type="dxa"/>
            <w:vAlign w:val="top"/>
          </w:tcPr>
          <w:p>
            <w:pPr>
              <w:pStyle w:val="TableText"/>
              <w:ind w:left="8"/>
              <w:spacing w:before="65" w:line="219" w:lineRule="auto"/>
              <w:rPr/>
            </w:pPr>
            <w:r>
              <w:rPr>
                <w:color w:val="212529"/>
                <w:spacing w:val="-2"/>
              </w:rPr>
              <w:t>行政单位离退休</w:t>
            </w:r>
          </w:p>
        </w:tc>
        <w:tc>
          <w:tcPr>
            <w:tcW w:w="1594" w:type="dxa"/>
            <w:vAlign w:val="top"/>
          </w:tcPr>
          <w:p>
            <w:pPr>
              <w:pStyle w:val="TableText"/>
              <w:ind w:right="23"/>
              <w:spacing w:before="93" w:line="183" w:lineRule="auto"/>
              <w:jc w:val="right"/>
              <w:rPr/>
            </w:pPr>
            <w:r>
              <w:rPr>
                <w:color w:val="212529"/>
                <w:spacing w:val="-3"/>
              </w:rPr>
              <w:t>6.35</w:t>
            </w:r>
          </w:p>
        </w:tc>
        <w:tc>
          <w:tcPr>
            <w:tcW w:w="1451" w:type="dxa"/>
            <w:vAlign w:val="top"/>
          </w:tcPr>
          <w:p>
            <w:pPr>
              <w:pStyle w:val="TableText"/>
              <w:ind w:right="21"/>
              <w:spacing w:before="93" w:line="183" w:lineRule="auto"/>
              <w:jc w:val="right"/>
              <w:rPr/>
            </w:pPr>
            <w:r>
              <w:rPr>
                <w:color w:val="212529"/>
                <w:spacing w:val="-3"/>
              </w:rPr>
              <w:t>6.35</w:t>
            </w:r>
          </w:p>
        </w:tc>
        <w:tc>
          <w:tcPr>
            <w:tcW w:w="1517" w:type="dxa"/>
            <w:vAlign w:val="top"/>
          </w:tcPr>
          <w:p>
            <w:pPr>
              <w:rPr>
                <w:rFonts w:ascii="Arial"/>
                <w:sz w:val="21"/>
              </w:rPr>
            </w:pPr>
            <w:r/>
          </w:p>
        </w:tc>
      </w:tr>
      <w:tr>
        <w:trPr>
          <w:trHeight w:val="409" w:hRule="atLeast"/>
        </w:trPr>
        <w:tc>
          <w:tcPr>
            <w:tcW w:w="1804" w:type="dxa"/>
            <w:vAlign w:val="top"/>
          </w:tcPr>
          <w:p>
            <w:pPr>
              <w:pStyle w:val="TableText"/>
              <w:ind w:left="11"/>
              <w:spacing w:before="129" w:line="183" w:lineRule="auto"/>
              <w:rPr/>
            </w:pPr>
            <w:r>
              <w:rPr>
                <w:color w:val="212529"/>
                <w:spacing w:val="-2"/>
              </w:rPr>
              <w:t>2080505</w:t>
            </w:r>
          </w:p>
        </w:tc>
        <w:tc>
          <w:tcPr>
            <w:tcW w:w="2650" w:type="dxa"/>
            <w:vAlign w:val="top"/>
          </w:tcPr>
          <w:p>
            <w:pPr>
              <w:pStyle w:val="TableText"/>
              <w:ind w:left="5" w:right="122"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594" w:type="dxa"/>
            <w:vAlign w:val="top"/>
          </w:tcPr>
          <w:p>
            <w:pPr>
              <w:pStyle w:val="TableText"/>
              <w:ind w:left="1125"/>
              <w:spacing w:before="128" w:line="184" w:lineRule="auto"/>
              <w:rPr/>
            </w:pPr>
            <w:r>
              <w:rPr>
                <w:color w:val="212529"/>
                <w:spacing w:val="-5"/>
              </w:rPr>
              <w:t>12.36</w:t>
            </w:r>
          </w:p>
        </w:tc>
        <w:tc>
          <w:tcPr>
            <w:tcW w:w="1451" w:type="dxa"/>
            <w:vAlign w:val="top"/>
          </w:tcPr>
          <w:p>
            <w:pPr>
              <w:pStyle w:val="TableText"/>
              <w:ind w:left="984"/>
              <w:spacing w:before="128" w:line="184" w:lineRule="auto"/>
              <w:rPr/>
            </w:pPr>
            <w:r>
              <w:rPr>
                <w:color w:val="212529"/>
                <w:spacing w:val="-5"/>
              </w:rPr>
              <w:t>12.36</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3" w:line="184" w:lineRule="auto"/>
              <w:rPr/>
            </w:pPr>
            <w:r>
              <w:rPr>
                <w:color w:val="212529"/>
                <w:spacing w:val="-4"/>
              </w:rPr>
              <w:t>221</w:t>
            </w:r>
          </w:p>
        </w:tc>
        <w:tc>
          <w:tcPr>
            <w:tcW w:w="2650" w:type="dxa"/>
            <w:vAlign w:val="top"/>
          </w:tcPr>
          <w:p>
            <w:pPr>
              <w:pStyle w:val="TableText"/>
              <w:ind w:left="4"/>
              <w:spacing w:before="66" w:line="219" w:lineRule="auto"/>
              <w:rPr/>
            </w:pPr>
            <w:r>
              <w:rPr>
                <w:color w:val="212529"/>
                <w:spacing w:val="-2"/>
              </w:rPr>
              <w:t>住房保障支出</w:t>
            </w:r>
          </w:p>
        </w:tc>
        <w:tc>
          <w:tcPr>
            <w:tcW w:w="1594" w:type="dxa"/>
            <w:vAlign w:val="top"/>
          </w:tcPr>
          <w:p>
            <w:pPr>
              <w:pStyle w:val="TableText"/>
              <w:ind w:left="1125"/>
              <w:spacing w:before="93" w:line="184" w:lineRule="auto"/>
              <w:rPr/>
            </w:pPr>
            <w:r>
              <w:rPr>
                <w:color w:val="212529"/>
                <w:spacing w:val="-5"/>
              </w:rPr>
              <w:t>13.14</w:t>
            </w:r>
          </w:p>
        </w:tc>
        <w:tc>
          <w:tcPr>
            <w:tcW w:w="1451" w:type="dxa"/>
            <w:vAlign w:val="top"/>
          </w:tcPr>
          <w:p>
            <w:pPr>
              <w:pStyle w:val="TableText"/>
              <w:ind w:left="984"/>
              <w:spacing w:before="93" w:line="184" w:lineRule="auto"/>
              <w:rPr/>
            </w:pPr>
            <w:r>
              <w:rPr>
                <w:color w:val="212529"/>
                <w:spacing w:val="-5"/>
              </w:rPr>
              <w:t>13.14</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3" w:line="184" w:lineRule="auto"/>
              <w:rPr/>
            </w:pPr>
            <w:r>
              <w:rPr>
                <w:color w:val="212529"/>
                <w:spacing w:val="-2"/>
              </w:rPr>
              <w:t>22102</w:t>
            </w:r>
          </w:p>
        </w:tc>
        <w:tc>
          <w:tcPr>
            <w:tcW w:w="2650" w:type="dxa"/>
            <w:vAlign w:val="top"/>
          </w:tcPr>
          <w:p>
            <w:pPr>
              <w:pStyle w:val="TableText"/>
              <w:ind w:left="4"/>
              <w:spacing w:before="66" w:line="219" w:lineRule="auto"/>
              <w:rPr/>
            </w:pPr>
            <w:r>
              <w:rPr>
                <w:color w:val="212529"/>
                <w:spacing w:val="-2"/>
              </w:rPr>
              <w:t>住房改革支出</w:t>
            </w:r>
          </w:p>
        </w:tc>
        <w:tc>
          <w:tcPr>
            <w:tcW w:w="1594" w:type="dxa"/>
            <w:vAlign w:val="top"/>
          </w:tcPr>
          <w:p>
            <w:pPr>
              <w:pStyle w:val="TableText"/>
              <w:ind w:left="1125"/>
              <w:spacing w:before="93" w:line="184" w:lineRule="auto"/>
              <w:rPr/>
            </w:pPr>
            <w:r>
              <w:rPr>
                <w:color w:val="212529"/>
                <w:spacing w:val="-5"/>
              </w:rPr>
              <w:t>13.14</w:t>
            </w:r>
          </w:p>
        </w:tc>
        <w:tc>
          <w:tcPr>
            <w:tcW w:w="1451" w:type="dxa"/>
            <w:vAlign w:val="top"/>
          </w:tcPr>
          <w:p>
            <w:pPr>
              <w:pStyle w:val="TableText"/>
              <w:ind w:left="984"/>
              <w:spacing w:before="93" w:line="184" w:lineRule="auto"/>
              <w:rPr/>
            </w:pPr>
            <w:r>
              <w:rPr>
                <w:color w:val="212529"/>
                <w:spacing w:val="-5"/>
              </w:rPr>
              <w:t>13.14</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4" w:line="184" w:lineRule="auto"/>
              <w:rPr/>
            </w:pPr>
            <w:r>
              <w:rPr>
                <w:color w:val="212529"/>
                <w:spacing w:val="-2"/>
              </w:rPr>
              <w:t>2210201</w:t>
            </w:r>
          </w:p>
        </w:tc>
        <w:tc>
          <w:tcPr>
            <w:tcW w:w="2650" w:type="dxa"/>
            <w:vAlign w:val="top"/>
          </w:tcPr>
          <w:p>
            <w:pPr>
              <w:pStyle w:val="TableText"/>
              <w:ind w:left="4"/>
              <w:spacing w:before="66" w:line="220" w:lineRule="auto"/>
              <w:rPr/>
            </w:pPr>
            <w:r>
              <w:rPr>
                <w:color w:val="212529"/>
                <w:spacing w:val="-2"/>
              </w:rPr>
              <w:t>住房公积金</w:t>
            </w:r>
          </w:p>
        </w:tc>
        <w:tc>
          <w:tcPr>
            <w:tcW w:w="1594" w:type="dxa"/>
            <w:vAlign w:val="top"/>
          </w:tcPr>
          <w:p>
            <w:pPr>
              <w:pStyle w:val="TableText"/>
              <w:ind w:left="1125"/>
              <w:spacing w:before="93" w:line="184" w:lineRule="auto"/>
              <w:rPr/>
            </w:pPr>
            <w:r>
              <w:rPr>
                <w:color w:val="212529"/>
                <w:spacing w:val="-5"/>
              </w:rPr>
              <w:t>13.14</w:t>
            </w:r>
          </w:p>
        </w:tc>
        <w:tc>
          <w:tcPr>
            <w:tcW w:w="1451" w:type="dxa"/>
            <w:vAlign w:val="top"/>
          </w:tcPr>
          <w:p>
            <w:pPr>
              <w:pStyle w:val="TableText"/>
              <w:ind w:left="984"/>
              <w:spacing w:before="93" w:line="184" w:lineRule="auto"/>
              <w:rPr/>
            </w:pPr>
            <w:r>
              <w:rPr>
                <w:color w:val="212529"/>
                <w:spacing w:val="-5"/>
              </w:rPr>
              <w:t>13.14</w:t>
            </w:r>
          </w:p>
        </w:tc>
        <w:tc>
          <w:tcPr>
            <w:tcW w:w="1517" w:type="dxa"/>
            <w:vAlign w:val="top"/>
          </w:tcPr>
          <w:p>
            <w:pPr>
              <w:rPr>
                <w:rFonts w:ascii="Arial"/>
                <w:sz w:val="21"/>
              </w:rPr>
            </w:pPr>
            <w:r/>
          </w:p>
        </w:tc>
      </w:tr>
      <w:tr>
        <w:trPr>
          <w:trHeight w:val="326" w:hRule="atLeast"/>
        </w:trPr>
        <w:tc>
          <w:tcPr>
            <w:tcW w:w="1804" w:type="dxa"/>
            <w:vAlign w:val="top"/>
          </w:tcPr>
          <w:p>
            <w:pPr>
              <w:pStyle w:val="TableText"/>
              <w:ind w:left="11"/>
              <w:spacing w:before="95" w:line="183" w:lineRule="auto"/>
              <w:rPr/>
            </w:pPr>
            <w:r>
              <w:rPr>
                <w:color w:val="212529"/>
                <w:spacing w:val="-4"/>
              </w:rPr>
              <w:t>229</w:t>
            </w:r>
          </w:p>
        </w:tc>
        <w:tc>
          <w:tcPr>
            <w:tcW w:w="2650" w:type="dxa"/>
            <w:vAlign w:val="top"/>
          </w:tcPr>
          <w:p>
            <w:pPr>
              <w:pStyle w:val="TableText"/>
              <w:ind w:left="6"/>
              <w:spacing w:before="66" w:line="220" w:lineRule="auto"/>
              <w:rPr/>
            </w:pPr>
            <w:r>
              <w:rPr>
                <w:color w:val="212529"/>
                <w:spacing w:val="-3"/>
              </w:rPr>
              <w:t>其他支出</w:t>
            </w:r>
          </w:p>
        </w:tc>
        <w:tc>
          <w:tcPr>
            <w:tcW w:w="1594" w:type="dxa"/>
            <w:vAlign w:val="top"/>
          </w:tcPr>
          <w:p>
            <w:pPr>
              <w:pStyle w:val="TableText"/>
              <w:ind w:right="23"/>
              <w:spacing w:before="94" w:line="183" w:lineRule="auto"/>
              <w:jc w:val="right"/>
              <w:rPr/>
            </w:pPr>
            <w:r>
              <w:rPr>
                <w:color w:val="212529"/>
                <w:spacing w:val="-3"/>
              </w:rPr>
              <w:t>0.96</w:t>
            </w:r>
          </w:p>
        </w:tc>
        <w:tc>
          <w:tcPr>
            <w:tcW w:w="1451" w:type="dxa"/>
            <w:vAlign w:val="top"/>
          </w:tcPr>
          <w:p>
            <w:pPr>
              <w:rPr>
                <w:rFonts w:ascii="Arial"/>
                <w:sz w:val="21"/>
              </w:rPr>
            </w:pPr>
            <w:r/>
          </w:p>
        </w:tc>
        <w:tc>
          <w:tcPr>
            <w:tcW w:w="1517" w:type="dxa"/>
            <w:vAlign w:val="top"/>
          </w:tcPr>
          <w:p>
            <w:pPr>
              <w:pStyle w:val="TableText"/>
              <w:ind w:right="26"/>
              <w:spacing w:before="94" w:line="183" w:lineRule="auto"/>
              <w:jc w:val="right"/>
              <w:rPr/>
            </w:pPr>
            <w:r>
              <w:rPr>
                <w:color w:val="212529"/>
                <w:spacing w:val="-3"/>
              </w:rPr>
              <w:t>0.96</w:t>
            </w:r>
          </w:p>
        </w:tc>
      </w:tr>
      <w:tr>
        <w:trPr>
          <w:trHeight w:val="326" w:hRule="atLeast"/>
        </w:trPr>
        <w:tc>
          <w:tcPr>
            <w:tcW w:w="1804" w:type="dxa"/>
            <w:vAlign w:val="top"/>
          </w:tcPr>
          <w:p>
            <w:pPr>
              <w:pStyle w:val="TableText"/>
              <w:ind w:left="11"/>
              <w:spacing w:before="95" w:line="183" w:lineRule="auto"/>
              <w:rPr/>
            </w:pPr>
            <w:r>
              <w:rPr>
                <w:color w:val="212529"/>
                <w:spacing w:val="-2"/>
              </w:rPr>
              <w:t>22999</w:t>
            </w:r>
          </w:p>
        </w:tc>
        <w:tc>
          <w:tcPr>
            <w:tcW w:w="2650" w:type="dxa"/>
            <w:vAlign w:val="top"/>
          </w:tcPr>
          <w:p>
            <w:pPr>
              <w:pStyle w:val="TableText"/>
              <w:ind w:left="6"/>
              <w:spacing w:before="66" w:line="220" w:lineRule="auto"/>
              <w:rPr/>
            </w:pPr>
            <w:r>
              <w:rPr>
                <w:color w:val="212529"/>
                <w:spacing w:val="-3"/>
              </w:rPr>
              <w:t>其他支出</w:t>
            </w:r>
          </w:p>
        </w:tc>
        <w:tc>
          <w:tcPr>
            <w:tcW w:w="1594" w:type="dxa"/>
            <w:vAlign w:val="top"/>
          </w:tcPr>
          <w:p>
            <w:pPr>
              <w:pStyle w:val="TableText"/>
              <w:ind w:right="23"/>
              <w:spacing w:before="95" w:line="183" w:lineRule="auto"/>
              <w:jc w:val="right"/>
              <w:rPr/>
            </w:pPr>
            <w:r>
              <w:rPr>
                <w:color w:val="212529"/>
                <w:spacing w:val="-3"/>
              </w:rPr>
              <w:t>0.96</w:t>
            </w:r>
          </w:p>
        </w:tc>
        <w:tc>
          <w:tcPr>
            <w:tcW w:w="1451" w:type="dxa"/>
            <w:vAlign w:val="top"/>
          </w:tcPr>
          <w:p>
            <w:pPr>
              <w:rPr>
                <w:rFonts w:ascii="Arial"/>
                <w:sz w:val="21"/>
              </w:rPr>
            </w:pPr>
            <w:r/>
          </w:p>
        </w:tc>
        <w:tc>
          <w:tcPr>
            <w:tcW w:w="1517" w:type="dxa"/>
            <w:vAlign w:val="top"/>
          </w:tcPr>
          <w:p>
            <w:pPr>
              <w:pStyle w:val="TableText"/>
              <w:ind w:right="26"/>
              <w:spacing w:before="95" w:line="183" w:lineRule="auto"/>
              <w:jc w:val="right"/>
              <w:rPr/>
            </w:pPr>
            <w:r>
              <w:rPr>
                <w:color w:val="212529"/>
                <w:spacing w:val="-3"/>
              </w:rPr>
              <w:t>0.96</w:t>
            </w:r>
          </w:p>
        </w:tc>
      </w:tr>
      <w:tr>
        <w:trPr>
          <w:trHeight w:val="326" w:hRule="atLeast"/>
        </w:trPr>
        <w:tc>
          <w:tcPr>
            <w:tcW w:w="1804" w:type="dxa"/>
            <w:vAlign w:val="top"/>
          </w:tcPr>
          <w:p>
            <w:pPr>
              <w:pStyle w:val="TableText"/>
              <w:ind w:left="11"/>
              <w:spacing w:before="95" w:line="183" w:lineRule="auto"/>
              <w:rPr/>
            </w:pPr>
            <w:r>
              <w:rPr>
                <w:color w:val="212529"/>
                <w:spacing w:val="-2"/>
              </w:rPr>
              <w:t>2299999</w:t>
            </w:r>
          </w:p>
        </w:tc>
        <w:tc>
          <w:tcPr>
            <w:tcW w:w="2650" w:type="dxa"/>
            <w:vAlign w:val="top"/>
          </w:tcPr>
          <w:p>
            <w:pPr>
              <w:pStyle w:val="TableText"/>
              <w:ind w:left="6"/>
              <w:spacing w:before="66" w:line="220" w:lineRule="auto"/>
              <w:rPr/>
            </w:pPr>
            <w:r>
              <w:rPr>
                <w:color w:val="212529"/>
                <w:spacing w:val="-3"/>
              </w:rPr>
              <w:t>其他支出</w:t>
            </w:r>
          </w:p>
        </w:tc>
        <w:tc>
          <w:tcPr>
            <w:tcW w:w="1594" w:type="dxa"/>
            <w:vAlign w:val="top"/>
          </w:tcPr>
          <w:p>
            <w:pPr>
              <w:pStyle w:val="TableText"/>
              <w:ind w:right="23"/>
              <w:spacing w:before="95" w:line="183" w:lineRule="auto"/>
              <w:jc w:val="right"/>
              <w:rPr/>
            </w:pPr>
            <w:r>
              <w:rPr>
                <w:color w:val="212529"/>
                <w:spacing w:val="-3"/>
              </w:rPr>
              <w:t>0.96</w:t>
            </w:r>
          </w:p>
        </w:tc>
        <w:tc>
          <w:tcPr>
            <w:tcW w:w="1451" w:type="dxa"/>
            <w:vAlign w:val="top"/>
          </w:tcPr>
          <w:p>
            <w:pPr>
              <w:rPr>
                <w:rFonts w:ascii="Arial"/>
                <w:sz w:val="21"/>
              </w:rPr>
            </w:pPr>
            <w:r/>
          </w:p>
        </w:tc>
        <w:tc>
          <w:tcPr>
            <w:tcW w:w="1517" w:type="dxa"/>
            <w:vAlign w:val="top"/>
          </w:tcPr>
          <w:p>
            <w:pPr>
              <w:pStyle w:val="TableText"/>
              <w:ind w:right="26"/>
              <w:spacing w:before="95" w:line="183" w:lineRule="auto"/>
              <w:jc w:val="right"/>
              <w:rPr/>
            </w:pPr>
            <w:r>
              <w:rPr>
                <w:color w:val="212529"/>
                <w:spacing w:val="-3"/>
              </w:rPr>
              <w:t>0.96</w:t>
            </w:r>
          </w:p>
        </w:tc>
      </w:tr>
      <w:tr>
        <w:trPr>
          <w:trHeight w:val="331"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footerReference w:type="default" r:id="rId9"/>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部门名称：中国共产党古县委员会宣传部</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71"/>
              <w:spacing w:before="150" w:line="188" w:lineRule="auto"/>
              <w:rPr>
                <w:sz w:val="14"/>
                <w:szCs w:val="14"/>
              </w:rPr>
            </w:pPr>
            <w:r>
              <w:rPr>
                <w:sz w:val="14"/>
                <w:szCs w:val="14"/>
                <w:color w:val="212529"/>
                <w:spacing w:val="-1"/>
              </w:rPr>
              <w:t>138.96</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72"/>
              <w:spacing w:before="150" w:line="188" w:lineRule="auto"/>
              <w:rPr>
                <w:sz w:val="14"/>
                <w:szCs w:val="14"/>
              </w:rPr>
            </w:pPr>
            <w:r>
              <w:rPr>
                <w:sz w:val="14"/>
                <w:szCs w:val="14"/>
                <w:color w:val="212529"/>
                <w:spacing w:val="-2"/>
              </w:rPr>
              <w:t>18.47</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531"/>
              <w:spacing w:before="151" w:line="187" w:lineRule="auto"/>
              <w:rPr>
                <w:sz w:val="14"/>
                <w:szCs w:val="14"/>
              </w:rPr>
            </w:pPr>
            <w:r>
              <w:rPr>
                <w:sz w:val="14"/>
                <w:szCs w:val="14"/>
                <w:color w:val="212529"/>
              </w:rPr>
              <w:t>43.69</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35"/>
              <w:spacing w:before="151" w:line="187" w:lineRule="auto"/>
              <w:rPr>
                <w:sz w:val="14"/>
                <w:szCs w:val="14"/>
              </w:rPr>
            </w:pPr>
            <w:r>
              <w:rPr>
                <w:sz w:val="14"/>
                <w:szCs w:val="14"/>
                <w:color w:val="212529"/>
              </w:rPr>
              <w:t>2.92</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5"/>
              <w:spacing w:before="152" w:line="188" w:lineRule="auto"/>
              <w:rPr>
                <w:sz w:val="14"/>
                <w:szCs w:val="14"/>
              </w:rPr>
            </w:pPr>
            <w:r>
              <w:rPr>
                <w:sz w:val="14"/>
                <w:szCs w:val="14"/>
                <w:color w:val="212529"/>
              </w:rPr>
              <w:t>54.10</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44"/>
              <w:spacing w:before="152" w:line="188" w:lineRule="auto"/>
              <w:rPr>
                <w:sz w:val="14"/>
                <w:szCs w:val="14"/>
              </w:rPr>
            </w:pPr>
            <w:r>
              <w:rPr>
                <w:sz w:val="14"/>
                <w:szCs w:val="14"/>
                <w:color w:val="212529"/>
                <w:spacing w:val="-3"/>
              </w:rPr>
              <w:t>1.26</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605"/>
              <w:spacing w:before="153" w:line="187" w:lineRule="auto"/>
              <w:rPr>
                <w:sz w:val="14"/>
                <w:szCs w:val="14"/>
              </w:rPr>
            </w:pPr>
            <w:r>
              <w:rPr>
                <w:sz w:val="14"/>
                <w:szCs w:val="14"/>
                <w:color w:val="212529"/>
              </w:rPr>
              <w:t>8.99</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43"/>
              <w:spacing w:before="153" w:line="188" w:lineRule="auto"/>
              <w:rPr>
                <w:sz w:val="14"/>
                <w:szCs w:val="14"/>
              </w:rPr>
            </w:pPr>
            <w:r>
              <w:rPr>
                <w:sz w:val="14"/>
                <w:szCs w:val="14"/>
                <w:color w:val="212529"/>
                <w:spacing w:val="-2"/>
              </w:rPr>
              <w:t>12.36</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607"/>
              <w:spacing w:before="153" w:line="188" w:lineRule="auto"/>
              <w:rPr>
                <w:sz w:val="14"/>
                <w:szCs w:val="14"/>
              </w:rPr>
            </w:pPr>
            <w:r>
              <w:rPr>
                <w:sz w:val="14"/>
                <w:szCs w:val="14"/>
                <w:color w:val="212529"/>
                <w:spacing w:val="-1"/>
              </w:rPr>
              <w:t>5.41</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15"/>
              <w:spacing w:before="154" w:line="188" w:lineRule="auto"/>
              <w:rPr>
                <w:sz w:val="14"/>
                <w:szCs w:val="14"/>
              </w:rPr>
            </w:pPr>
            <w:r>
              <w:rPr>
                <w:sz w:val="14"/>
                <w:szCs w:val="14"/>
                <w:color w:val="212529"/>
                <w:spacing w:val="-3"/>
              </w:rPr>
              <w:t>1.27</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44"/>
              <w:spacing w:before="154" w:line="188" w:lineRule="auto"/>
              <w:rPr>
                <w:sz w:val="14"/>
                <w:szCs w:val="14"/>
              </w:rPr>
            </w:pPr>
            <w:r>
              <w:rPr>
                <w:sz w:val="14"/>
                <w:szCs w:val="14"/>
                <w:color w:val="212529"/>
                <w:spacing w:val="-3"/>
              </w:rPr>
              <w:t>1.06</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43"/>
              <w:spacing w:before="154" w:line="188" w:lineRule="auto"/>
              <w:rPr>
                <w:sz w:val="14"/>
                <w:szCs w:val="14"/>
              </w:rPr>
            </w:pPr>
            <w:r>
              <w:rPr>
                <w:sz w:val="14"/>
                <w:szCs w:val="14"/>
                <w:color w:val="212529"/>
                <w:spacing w:val="-2"/>
              </w:rPr>
              <w:t>13.14</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605"/>
              <w:spacing w:before="155" w:line="187" w:lineRule="auto"/>
              <w:rPr>
                <w:sz w:val="14"/>
                <w:szCs w:val="14"/>
              </w:rPr>
            </w:pPr>
            <w:r>
              <w:rPr>
                <w:sz w:val="14"/>
                <w:szCs w:val="14"/>
                <w:color w:val="212529"/>
              </w:rPr>
              <w:t>6.35</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10"/>
          <w:footerReference w:type="default" r:id="rId11"/>
          <w:pgSz w:w="16840" w:h="11900"/>
          <w:pgMar w:top="610" w:right="600" w:bottom="312" w:left="600" w:header="357" w:footer="153" w:gutter="0"/>
        </w:sectPr>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605"/>
              <w:spacing w:before="153" w:line="187" w:lineRule="auto"/>
              <w:rPr>
                <w:sz w:val="14"/>
                <w:szCs w:val="14"/>
              </w:rPr>
            </w:pPr>
            <w:r>
              <w:rPr>
                <w:sz w:val="14"/>
                <w:szCs w:val="14"/>
                <w:color w:val="212529"/>
              </w:rPr>
              <w:t>6.35</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5"/>
              <w:spacing w:before="150" w:line="187" w:lineRule="auto"/>
              <w:rPr>
                <w:sz w:val="14"/>
                <w:szCs w:val="14"/>
              </w:rPr>
            </w:pPr>
            <w:r>
              <w:rPr>
                <w:sz w:val="14"/>
                <w:szCs w:val="14"/>
                <w:color w:val="212529"/>
              </w:rPr>
              <w:t>0.42</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44"/>
              <w:spacing w:before="150" w:line="188" w:lineRule="auto"/>
              <w:rPr>
                <w:sz w:val="14"/>
                <w:szCs w:val="14"/>
              </w:rPr>
            </w:pPr>
            <w:r>
              <w:rPr>
                <w:sz w:val="14"/>
                <w:szCs w:val="14"/>
                <w:color w:val="212529"/>
                <w:spacing w:val="-3"/>
              </w:rPr>
              <w:t>1.50</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535"/>
              <w:spacing w:before="152" w:line="187" w:lineRule="auto"/>
              <w:rPr>
                <w:sz w:val="14"/>
                <w:szCs w:val="14"/>
              </w:rPr>
            </w:pPr>
            <w:r>
              <w:rPr>
                <w:sz w:val="14"/>
                <w:szCs w:val="14"/>
                <w:color w:val="212529"/>
              </w:rPr>
              <w:t>2.63</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537"/>
              <w:spacing w:before="154" w:line="185" w:lineRule="auto"/>
              <w:rPr>
                <w:sz w:val="14"/>
                <w:szCs w:val="14"/>
              </w:rPr>
            </w:pPr>
            <w:r>
              <w:rPr>
                <w:sz w:val="14"/>
                <w:szCs w:val="14"/>
                <w:color w:val="212529"/>
                <w:spacing w:val="-1"/>
              </w:rPr>
              <w:t>7.77</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pStyle w:val="TableText"/>
              <w:ind w:left="535"/>
              <w:spacing w:before="153" w:line="188" w:lineRule="auto"/>
              <w:rPr>
                <w:sz w:val="14"/>
                <w:szCs w:val="14"/>
              </w:rPr>
            </w:pPr>
            <w:r>
              <w:rPr>
                <w:sz w:val="14"/>
                <w:szCs w:val="14"/>
                <w:color w:val="212529"/>
              </w:rPr>
              <w:t>0.91</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71"/>
              <w:spacing w:before="154" w:line="188" w:lineRule="auto"/>
              <w:rPr>
                <w:sz w:val="14"/>
                <w:szCs w:val="14"/>
              </w:rPr>
            </w:pPr>
            <w:r>
              <w:rPr>
                <w:sz w:val="14"/>
                <w:szCs w:val="14"/>
                <w:color w:val="212529"/>
                <w:spacing w:val="-1"/>
              </w:rPr>
              <w:t>145.31</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94"/>
              <w:spacing w:before="154" w:line="188" w:lineRule="auto"/>
              <w:rPr>
                <w:sz w:val="14"/>
                <w:szCs w:val="14"/>
              </w:rPr>
            </w:pPr>
            <w:r>
              <w:rPr>
                <w:sz w:val="14"/>
                <w:szCs w:val="14"/>
                <w:color w:val="212529"/>
                <w:spacing w:val="-2"/>
              </w:rPr>
              <w:t>18.47</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12"/>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部门名称：中国共产党古县委员会宣传部</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1"/>
          <w:footerReference w:type="default" r:id="rId13"/>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部门名称：中国共产党古县委员会宣传部</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14"/>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right="79"/>
              <w:spacing w:before="43" w:line="223" w:lineRule="auto"/>
              <w:rPr>
                <w:sz w:val="14"/>
                <w:szCs w:val="14"/>
              </w:rPr>
            </w:pPr>
            <w:r>
              <w:rPr>
                <w:sz w:val="14"/>
                <w:szCs w:val="14"/>
                <w:color w:val="212529"/>
                <w:spacing w:val="3"/>
              </w:rPr>
              <w:t>部门名称：中国共产党古县委员会宣传</w:t>
            </w:r>
            <w:r>
              <w:rPr>
                <w:sz w:val="14"/>
                <w:szCs w:val="14"/>
                <w:color w:val="212529"/>
                <w:spacing w:val="8"/>
              </w:rPr>
              <w:t xml:space="preserve"> </w:t>
            </w:r>
            <w:r>
              <w:rPr>
                <w:sz w:val="14"/>
                <w:szCs w:val="14"/>
                <w:color w:val="212529"/>
              </w:rPr>
              <w:t>部</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841"/>
        <w:spacing w:before="1" w:line="209" w:lineRule="auto"/>
        <w:rPr>
          <w:rFonts w:ascii="SimSun" w:hAnsi="SimSun" w:eastAsia="SimSun" w:cs="SimSun"/>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8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10"/>
          <w:footerReference w:type="default" r:id="rId15"/>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42"/>
        <w:gridCol w:w="971"/>
        <w:gridCol w:w="3603"/>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422" w:hRule="atLeast"/>
        </w:trPr>
        <w:tc>
          <w:tcPr>
            <w:tcW w:w="444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7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603" w:type="dxa"/>
            <w:vAlign w:val="top"/>
            <w:tcBorders>
              <w:left w:val="single" w:color="FFFFFF" w:sz="2" w:space="0"/>
              <w:right w:val="single" w:color="FFFFFF" w:sz="2" w:space="0"/>
              <w:bottom w:val="single" w:color="FFFFFF" w:sz="4" w:space="0"/>
              <w:top w:val="single" w:color="FFFFFF" w:sz="4" w:space="0"/>
            </w:tcBorders>
          </w:tcPr>
          <w:p>
            <w:pPr>
              <w:pStyle w:val="TableText"/>
              <w:ind w:left="2956"/>
              <w:spacing w:before="127" w:line="228" w:lineRule="auto"/>
              <w:rPr>
                <w:sz w:val="15"/>
                <w:szCs w:val="15"/>
              </w:rPr>
            </w:pPr>
            <w:r>
              <w:rPr>
                <w:sz w:val="15"/>
                <w:szCs w:val="15"/>
                <w:color w:val="212529"/>
                <w:spacing w:val="2"/>
              </w:rPr>
              <w:t>公开10表</w:t>
            </w:r>
          </w:p>
        </w:tc>
      </w:tr>
      <w:tr>
        <w:trPr>
          <w:trHeight w:val="421" w:hRule="atLeast"/>
        </w:trPr>
        <w:tc>
          <w:tcPr>
            <w:tcW w:w="4442" w:type="dxa"/>
            <w:vAlign w:val="top"/>
            <w:tcBorders>
              <w:right w:val="single" w:color="FFFFFF" w:sz="2" w:space="0"/>
              <w:top w:val="single" w:color="FFFFFF" w:sz="4" w:space="0"/>
              <w:left w:val="single" w:color="000000" w:sz="2" w:space="0"/>
            </w:tcBorders>
          </w:tcPr>
          <w:p>
            <w:pPr>
              <w:pStyle w:val="TableText"/>
              <w:ind w:left="11"/>
              <w:spacing w:before="125" w:line="224" w:lineRule="auto"/>
              <w:rPr>
                <w:sz w:val="14"/>
                <w:szCs w:val="14"/>
              </w:rPr>
            </w:pPr>
            <w:r>
              <w:rPr>
                <w:sz w:val="14"/>
                <w:szCs w:val="14"/>
                <w:color w:val="212529"/>
                <w:spacing w:val="3"/>
              </w:rPr>
              <w:t>单位名称：中国共产党古县委员会宣传部</w:t>
            </w:r>
          </w:p>
        </w:tc>
        <w:tc>
          <w:tcPr>
            <w:tcW w:w="971" w:type="dxa"/>
            <w:vAlign w:val="top"/>
            <w:tcBorders>
              <w:left w:val="single" w:color="FFFFFF" w:sz="2" w:space="0"/>
              <w:right w:val="single" w:color="FFFFFF" w:sz="2" w:space="0"/>
              <w:top w:val="single" w:color="FFFFFF" w:sz="4" w:space="0"/>
            </w:tcBorders>
          </w:tcPr>
          <w:p>
            <w:pPr>
              <w:pStyle w:val="TableText"/>
              <w:ind w:left="191"/>
              <w:spacing w:before="125" w:line="225" w:lineRule="auto"/>
              <w:rPr>
                <w:sz w:val="14"/>
                <w:szCs w:val="14"/>
              </w:rPr>
            </w:pPr>
            <w:r>
              <w:rPr>
                <w:sz w:val="14"/>
                <w:szCs w:val="14"/>
                <w:color w:val="212529"/>
                <w:spacing w:val="1"/>
              </w:rPr>
              <w:t>2023年度</w:t>
            </w:r>
          </w:p>
        </w:tc>
        <w:tc>
          <w:tcPr>
            <w:tcW w:w="3603" w:type="dxa"/>
            <w:vAlign w:val="top"/>
            <w:tcBorders>
              <w:left w:val="single" w:color="FFFFFF" w:sz="2" w:space="0"/>
              <w:top w:val="single" w:color="FFFFFF" w:sz="4" w:space="0"/>
              <w:right w:val="single" w:color="000000" w:sz="2" w:space="0"/>
            </w:tcBorders>
          </w:tcPr>
          <w:p>
            <w:pPr>
              <w:pStyle w:val="TableText"/>
              <w:ind w:left="2485"/>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442" w:type="dxa"/>
            <w:vAlign w:val="top"/>
          </w:tcPr>
          <w:p>
            <w:pPr>
              <w:pStyle w:val="TableText"/>
              <w:ind w:left="2028"/>
              <w:spacing w:before="108" w:line="220" w:lineRule="auto"/>
              <w:rPr/>
            </w:pPr>
            <w:r>
              <w:rPr>
                <w:color w:val="212529"/>
                <w:spacing w:val="-6"/>
              </w:rPr>
              <w:t>项目</w:t>
            </w:r>
          </w:p>
        </w:tc>
        <w:tc>
          <w:tcPr>
            <w:tcW w:w="971" w:type="dxa"/>
            <w:vAlign w:val="top"/>
          </w:tcPr>
          <w:p>
            <w:pPr>
              <w:pStyle w:val="TableText"/>
              <w:ind w:left="293"/>
              <w:spacing w:before="108" w:line="219" w:lineRule="auto"/>
              <w:rPr/>
            </w:pPr>
            <w:r>
              <w:rPr>
                <w:color w:val="212529"/>
                <w:spacing w:val="-6"/>
              </w:rPr>
              <w:t>行次</w:t>
            </w:r>
          </w:p>
        </w:tc>
        <w:tc>
          <w:tcPr>
            <w:tcW w:w="3603" w:type="dxa"/>
            <w:vAlign w:val="top"/>
          </w:tcPr>
          <w:p>
            <w:pPr>
              <w:pStyle w:val="TableText"/>
              <w:ind w:left="1520"/>
              <w:spacing w:before="108" w:line="219" w:lineRule="auto"/>
              <w:rPr/>
            </w:pPr>
            <w:r>
              <w:rPr>
                <w:color w:val="212529"/>
                <w:spacing w:val="-5"/>
              </w:rPr>
              <w:t>统计数</w:t>
            </w:r>
          </w:p>
        </w:tc>
      </w:tr>
      <w:tr>
        <w:trPr>
          <w:trHeight w:val="421" w:hRule="atLeast"/>
        </w:trPr>
        <w:tc>
          <w:tcPr>
            <w:tcW w:w="4442" w:type="dxa"/>
            <w:vAlign w:val="top"/>
          </w:tcPr>
          <w:p>
            <w:pPr>
              <w:pStyle w:val="TableText"/>
              <w:ind w:left="2032"/>
              <w:spacing w:before="107" w:line="221" w:lineRule="auto"/>
              <w:rPr/>
            </w:pPr>
            <w:r>
              <w:rPr>
                <w:color w:val="212529"/>
                <w:spacing w:val="-5"/>
              </w:rPr>
              <w:t>合计</w:t>
            </w:r>
          </w:p>
        </w:tc>
        <w:tc>
          <w:tcPr>
            <w:tcW w:w="971" w:type="dxa"/>
            <w:vAlign w:val="top"/>
          </w:tcPr>
          <w:p>
            <w:pPr>
              <w:pStyle w:val="TableText"/>
              <w:ind w:left="441"/>
              <w:spacing w:before="135" w:line="184" w:lineRule="auto"/>
              <w:rPr/>
            </w:pPr>
            <w:r>
              <w:rPr>
                <w:color w:val="212529"/>
              </w:rPr>
              <w:t>1</w:t>
            </w:r>
          </w:p>
        </w:tc>
        <w:tc>
          <w:tcPr>
            <w:tcW w:w="3603" w:type="dxa"/>
            <w:vAlign w:val="top"/>
          </w:tcPr>
          <w:p>
            <w:pPr>
              <w:pStyle w:val="TableText"/>
              <w:ind w:right="26"/>
              <w:spacing w:before="136" w:line="183" w:lineRule="auto"/>
              <w:jc w:val="right"/>
              <w:rPr/>
            </w:pPr>
            <w:r>
              <w:rPr>
                <w:color w:val="212529"/>
                <w:spacing w:val="-3"/>
              </w:rPr>
              <w:t>0.55</w:t>
            </w:r>
          </w:p>
        </w:tc>
      </w:tr>
      <w:tr>
        <w:trPr>
          <w:trHeight w:val="422" w:hRule="atLeast"/>
        </w:trPr>
        <w:tc>
          <w:tcPr>
            <w:tcW w:w="4442" w:type="dxa"/>
            <w:vAlign w:val="top"/>
          </w:tcPr>
          <w:p>
            <w:pPr>
              <w:pStyle w:val="TableText"/>
              <w:ind w:left="2035"/>
              <w:spacing w:before="108" w:line="219" w:lineRule="auto"/>
              <w:rPr/>
            </w:pPr>
            <w:r>
              <w:rPr>
                <w:color w:val="212529"/>
                <w:spacing w:val="-7"/>
              </w:rPr>
              <w:t>货物</w:t>
            </w:r>
          </w:p>
        </w:tc>
        <w:tc>
          <w:tcPr>
            <w:tcW w:w="971" w:type="dxa"/>
            <w:vAlign w:val="top"/>
          </w:tcPr>
          <w:p>
            <w:pPr>
              <w:pStyle w:val="TableText"/>
              <w:ind w:left="430"/>
              <w:spacing w:before="137" w:line="183" w:lineRule="auto"/>
              <w:rPr/>
            </w:pPr>
            <w:r>
              <w:rPr>
                <w:color w:val="212529"/>
              </w:rPr>
              <w:t>2</w:t>
            </w:r>
          </w:p>
        </w:tc>
        <w:tc>
          <w:tcPr>
            <w:tcW w:w="3603" w:type="dxa"/>
            <w:vAlign w:val="top"/>
          </w:tcPr>
          <w:p>
            <w:pPr>
              <w:pStyle w:val="TableText"/>
              <w:ind w:right="26"/>
              <w:spacing w:before="137" w:line="183" w:lineRule="auto"/>
              <w:jc w:val="right"/>
              <w:rPr/>
            </w:pPr>
            <w:r>
              <w:rPr>
                <w:color w:val="212529"/>
                <w:spacing w:val="-3"/>
              </w:rPr>
              <w:t>0.55</w:t>
            </w:r>
          </w:p>
        </w:tc>
      </w:tr>
      <w:tr>
        <w:trPr>
          <w:trHeight w:val="421" w:hRule="atLeast"/>
        </w:trPr>
        <w:tc>
          <w:tcPr>
            <w:tcW w:w="4442" w:type="dxa"/>
            <w:vAlign w:val="top"/>
          </w:tcPr>
          <w:p>
            <w:pPr>
              <w:pStyle w:val="TableText"/>
              <w:ind w:left="2033"/>
              <w:spacing w:before="109" w:line="220" w:lineRule="auto"/>
              <w:rPr/>
            </w:pPr>
            <w:r>
              <w:rPr>
                <w:color w:val="212529"/>
                <w:spacing w:val="-6"/>
              </w:rPr>
              <w:t>工程</w:t>
            </w:r>
          </w:p>
        </w:tc>
        <w:tc>
          <w:tcPr>
            <w:tcW w:w="971" w:type="dxa"/>
            <w:vAlign w:val="top"/>
          </w:tcPr>
          <w:p>
            <w:pPr>
              <w:pStyle w:val="TableText"/>
              <w:ind w:left="431"/>
              <w:spacing w:before="137" w:line="183" w:lineRule="auto"/>
              <w:rPr/>
            </w:pPr>
            <w:r>
              <w:rPr>
                <w:color w:val="212529"/>
              </w:rPr>
              <w:t>3</w:t>
            </w:r>
          </w:p>
        </w:tc>
        <w:tc>
          <w:tcPr>
            <w:tcW w:w="3603" w:type="dxa"/>
            <w:vAlign w:val="top"/>
          </w:tcPr>
          <w:p>
            <w:pPr>
              <w:rPr>
                <w:rFonts w:ascii="Arial"/>
                <w:sz w:val="21"/>
              </w:rPr>
            </w:pPr>
            <w:r/>
          </w:p>
        </w:tc>
      </w:tr>
      <w:tr>
        <w:trPr>
          <w:trHeight w:val="422" w:hRule="atLeast"/>
        </w:trPr>
        <w:tc>
          <w:tcPr>
            <w:tcW w:w="4442" w:type="dxa"/>
            <w:vAlign w:val="top"/>
          </w:tcPr>
          <w:p>
            <w:pPr>
              <w:pStyle w:val="TableText"/>
              <w:ind w:left="2031"/>
              <w:spacing w:before="110" w:line="219" w:lineRule="auto"/>
              <w:rPr/>
            </w:pPr>
            <w:r>
              <w:rPr>
                <w:color w:val="212529"/>
                <w:spacing w:val="-5"/>
              </w:rPr>
              <w:t>服务</w:t>
            </w:r>
          </w:p>
        </w:tc>
        <w:tc>
          <w:tcPr>
            <w:tcW w:w="971" w:type="dxa"/>
            <w:vAlign w:val="top"/>
          </w:tcPr>
          <w:p>
            <w:pPr>
              <w:pStyle w:val="TableText"/>
              <w:ind w:left="427"/>
              <w:spacing w:before="138" w:line="183" w:lineRule="auto"/>
              <w:rPr/>
            </w:pPr>
            <w:r>
              <w:rPr>
                <w:color w:val="212529"/>
              </w:rPr>
              <w:t>4</w:t>
            </w:r>
          </w:p>
        </w:tc>
        <w:tc>
          <w:tcPr>
            <w:tcW w:w="3603" w:type="dxa"/>
            <w:vAlign w:val="top"/>
          </w:tcPr>
          <w:p>
            <w:pPr>
              <w:rPr>
                <w:rFonts w:ascii="Arial"/>
                <w:sz w:val="21"/>
              </w:rPr>
            </w:pPr>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442" w:type="dxa"/>
            <w:vAlign w:val="top"/>
          </w:tcPr>
          <w:p>
            <w:pPr>
              <w:pStyle w:val="TableText"/>
              <w:ind w:left="2028"/>
              <w:spacing w:before="111" w:line="220" w:lineRule="auto"/>
              <w:rPr/>
            </w:pPr>
            <w:r>
              <w:rPr>
                <w:color w:val="212529"/>
                <w:spacing w:val="-6"/>
              </w:rPr>
              <w:t>项目</w:t>
            </w:r>
          </w:p>
        </w:tc>
        <w:tc>
          <w:tcPr>
            <w:tcW w:w="971" w:type="dxa"/>
            <w:vAlign w:val="top"/>
          </w:tcPr>
          <w:p>
            <w:pPr>
              <w:rPr>
                <w:rFonts w:ascii="Arial"/>
                <w:sz w:val="21"/>
              </w:rPr>
            </w:pPr>
            <w:r/>
          </w:p>
        </w:tc>
        <w:tc>
          <w:tcPr>
            <w:tcW w:w="3603" w:type="dxa"/>
            <w:vAlign w:val="top"/>
          </w:tcPr>
          <w:p>
            <w:pPr>
              <w:pStyle w:val="TableText"/>
              <w:ind w:left="1520"/>
              <w:spacing w:before="111" w:line="219" w:lineRule="auto"/>
              <w:rPr/>
            </w:pPr>
            <w:r>
              <w:rPr>
                <w:color w:val="212529"/>
                <w:spacing w:val="-5"/>
              </w:rPr>
              <w:t>统计数</w:t>
            </w:r>
          </w:p>
        </w:tc>
      </w:tr>
      <w:tr>
        <w:trPr>
          <w:trHeight w:val="421" w:hRule="atLeast"/>
        </w:trPr>
        <w:tc>
          <w:tcPr>
            <w:tcW w:w="4442" w:type="dxa"/>
            <w:vAlign w:val="top"/>
          </w:tcPr>
          <w:p>
            <w:pPr>
              <w:pStyle w:val="TableText"/>
              <w:ind w:left="13"/>
              <w:spacing w:before="111" w:line="220" w:lineRule="auto"/>
              <w:rPr/>
            </w:pPr>
            <w:r>
              <w:rPr>
                <w:color w:val="212529"/>
                <w:spacing w:val="-2"/>
              </w:rPr>
              <w:t>（一）行政单位</w:t>
            </w:r>
          </w:p>
        </w:tc>
        <w:tc>
          <w:tcPr>
            <w:tcW w:w="971" w:type="dxa"/>
            <w:vAlign w:val="top"/>
          </w:tcPr>
          <w:p>
            <w:pPr>
              <w:pStyle w:val="TableText"/>
              <w:ind w:left="431"/>
              <w:spacing w:before="141" w:line="182" w:lineRule="auto"/>
              <w:rPr/>
            </w:pPr>
            <w:r>
              <w:rPr>
                <w:color w:val="212529"/>
              </w:rPr>
              <w:t>5</w:t>
            </w:r>
          </w:p>
        </w:tc>
        <w:tc>
          <w:tcPr>
            <w:tcW w:w="3603" w:type="dxa"/>
            <w:vAlign w:val="top"/>
          </w:tcPr>
          <w:p>
            <w:pPr>
              <w:pStyle w:val="TableText"/>
              <w:ind w:left="3131"/>
              <w:spacing w:before="139" w:line="184" w:lineRule="auto"/>
              <w:rPr/>
            </w:pPr>
            <w:r>
              <w:rPr>
                <w:color w:val="212529"/>
                <w:spacing w:val="-5"/>
              </w:rPr>
              <w:t>18.47</w:t>
            </w:r>
          </w:p>
        </w:tc>
      </w:tr>
      <w:tr>
        <w:trPr>
          <w:trHeight w:val="422" w:hRule="atLeast"/>
        </w:trPr>
        <w:tc>
          <w:tcPr>
            <w:tcW w:w="4442" w:type="dxa"/>
            <w:vAlign w:val="top"/>
          </w:tcPr>
          <w:p>
            <w:pPr>
              <w:pStyle w:val="TableText"/>
              <w:ind w:left="13"/>
              <w:spacing w:before="113" w:line="219" w:lineRule="auto"/>
              <w:rPr/>
            </w:pPr>
            <w:r>
              <w:rPr>
                <w:color w:val="212529"/>
                <w:spacing w:val="-1"/>
              </w:rPr>
              <w:t>（二）参照公务员法管理事业单位</w:t>
            </w:r>
          </w:p>
        </w:tc>
        <w:tc>
          <w:tcPr>
            <w:tcW w:w="971" w:type="dxa"/>
            <w:vAlign w:val="top"/>
          </w:tcPr>
          <w:p>
            <w:pPr>
              <w:pStyle w:val="TableText"/>
              <w:ind w:left="429"/>
              <w:spacing w:before="141" w:line="183" w:lineRule="auto"/>
              <w:rPr/>
            </w:pPr>
            <w:r>
              <w:rPr>
                <w:color w:val="212529"/>
              </w:rPr>
              <w:t>6</w:t>
            </w:r>
          </w:p>
        </w:tc>
        <w:tc>
          <w:tcPr>
            <w:tcW w:w="3603"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442" w:type="dxa"/>
            <w:vAlign w:val="top"/>
          </w:tcPr>
          <w:p>
            <w:pPr>
              <w:pStyle w:val="TableText"/>
              <w:ind w:left="13"/>
              <w:spacing w:before="113" w:line="219" w:lineRule="auto"/>
              <w:rPr/>
            </w:pPr>
            <w:r>
              <w:rPr>
                <w:color w:val="212529"/>
                <w:spacing w:val="-2"/>
              </w:rPr>
              <w:t>（一）车辆数合计（辆）</w:t>
            </w:r>
          </w:p>
        </w:tc>
        <w:tc>
          <w:tcPr>
            <w:tcW w:w="971" w:type="dxa"/>
            <w:vAlign w:val="top"/>
          </w:tcPr>
          <w:p>
            <w:pPr>
              <w:pStyle w:val="TableText"/>
              <w:ind w:left="432"/>
              <w:spacing w:before="142" w:line="182" w:lineRule="auto"/>
              <w:rPr/>
            </w:pPr>
            <w:r>
              <w:rPr>
                <w:color w:val="212529"/>
              </w:rPr>
              <w:t>7</w:t>
            </w:r>
          </w:p>
        </w:tc>
        <w:tc>
          <w:tcPr>
            <w:tcW w:w="3603" w:type="dxa"/>
            <w:vAlign w:val="top"/>
          </w:tcPr>
          <w:p>
            <w:pPr>
              <w:rPr>
                <w:rFonts w:ascii="Arial"/>
                <w:sz w:val="21"/>
              </w:rPr>
            </w:pPr>
            <w:r/>
          </w:p>
        </w:tc>
      </w:tr>
      <w:tr>
        <w:trPr>
          <w:trHeight w:val="422" w:hRule="atLeast"/>
        </w:trPr>
        <w:tc>
          <w:tcPr>
            <w:tcW w:w="4442" w:type="dxa"/>
            <w:vAlign w:val="top"/>
          </w:tcPr>
          <w:p>
            <w:pPr>
              <w:pStyle w:val="TableText"/>
              <w:ind w:left="112"/>
              <w:spacing w:before="113" w:line="219" w:lineRule="auto"/>
              <w:rPr/>
            </w:pPr>
            <w:r>
              <w:rPr>
                <w:color w:val="212529"/>
                <w:spacing w:val="-2"/>
              </w:rPr>
              <w:t>1.副部（省）级及以上领导用车</w:t>
            </w:r>
          </w:p>
        </w:tc>
        <w:tc>
          <w:tcPr>
            <w:tcW w:w="971" w:type="dxa"/>
            <w:vAlign w:val="top"/>
          </w:tcPr>
          <w:p>
            <w:pPr>
              <w:pStyle w:val="TableText"/>
              <w:ind w:left="429"/>
              <w:spacing w:before="141" w:line="183" w:lineRule="auto"/>
              <w:rPr/>
            </w:pPr>
            <w:r>
              <w:rPr>
                <w:color w:val="212529"/>
              </w:rPr>
              <w:t>8</w:t>
            </w:r>
          </w:p>
        </w:tc>
        <w:tc>
          <w:tcPr>
            <w:tcW w:w="3603" w:type="dxa"/>
            <w:vAlign w:val="top"/>
          </w:tcPr>
          <w:p>
            <w:pPr>
              <w:rPr>
                <w:rFonts w:ascii="Arial"/>
                <w:sz w:val="21"/>
              </w:rPr>
            </w:pPr>
            <w:r/>
          </w:p>
        </w:tc>
      </w:tr>
      <w:tr>
        <w:trPr>
          <w:trHeight w:val="422" w:hRule="atLeast"/>
        </w:trPr>
        <w:tc>
          <w:tcPr>
            <w:tcW w:w="4442" w:type="dxa"/>
            <w:vAlign w:val="top"/>
          </w:tcPr>
          <w:p>
            <w:pPr>
              <w:pStyle w:val="TableText"/>
              <w:ind w:left="101"/>
              <w:spacing w:before="113" w:line="219" w:lineRule="auto"/>
              <w:rPr/>
            </w:pPr>
            <w:r>
              <w:rPr>
                <w:color w:val="212529"/>
                <w:spacing w:val="-2"/>
              </w:rPr>
              <w:t>2.主要负责人用车</w:t>
            </w:r>
          </w:p>
        </w:tc>
        <w:tc>
          <w:tcPr>
            <w:tcW w:w="971" w:type="dxa"/>
            <w:vAlign w:val="top"/>
          </w:tcPr>
          <w:p>
            <w:pPr>
              <w:pStyle w:val="TableText"/>
              <w:ind w:left="429"/>
              <w:spacing w:before="142" w:line="183" w:lineRule="auto"/>
              <w:rPr/>
            </w:pPr>
            <w:r>
              <w:rPr>
                <w:color w:val="212529"/>
              </w:rPr>
              <w:t>9</w:t>
            </w:r>
          </w:p>
        </w:tc>
        <w:tc>
          <w:tcPr>
            <w:tcW w:w="3603" w:type="dxa"/>
            <w:vAlign w:val="top"/>
          </w:tcPr>
          <w:p>
            <w:pPr>
              <w:rPr>
                <w:rFonts w:ascii="Arial"/>
                <w:sz w:val="21"/>
              </w:rPr>
            </w:pPr>
            <w:r/>
          </w:p>
        </w:tc>
      </w:tr>
      <w:tr>
        <w:trPr>
          <w:trHeight w:val="422" w:hRule="atLeast"/>
        </w:trPr>
        <w:tc>
          <w:tcPr>
            <w:tcW w:w="4442" w:type="dxa"/>
            <w:vAlign w:val="top"/>
          </w:tcPr>
          <w:p>
            <w:pPr>
              <w:pStyle w:val="TableText"/>
              <w:ind w:left="102"/>
              <w:spacing w:before="113" w:line="219" w:lineRule="auto"/>
              <w:rPr/>
            </w:pPr>
            <w:r>
              <w:rPr>
                <w:color w:val="212529"/>
                <w:spacing w:val="-2"/>
              </w:rPr>
              <w:t>3.机要通信用车</w:t>
            </w:r>
          </w:p>
        </w:tc>
        <w:tc>
          <w:tcPr>
            <w:tcW w:w="971" w:type="dxa"/>
            <w:vAlign w:val="top"/>
          </w:tcPr>
          <w:p>
            <w:pPr>
              <w:pStyle w:val="TableText"/>
              <w:ind w:left="399"/>
              <w:spacing w:before="141" w:line="184" w:lineRule="auto"/>
              <w:rPr/>
            </w:pPr>
            <w:r>
              <w:rPr>
                <w:color w:val="212529"/>
                <w:spacing w:val="-11"/>
              </w:rPr>
              <w:t>10</w:t>
            </w:r>
          </w:p>
        </w:tc>
        <w:tc>
          <w:tcPr>
            <w:tcW w:w="3603" w:type="dxa"/>
            <w:vAlign w:val="top"/>
          </w:tcPr>
          <w:p>
            <w:pPr>
              <w:rPr>
                <w:rFonts w:ascii="Arial"/>
                <w:sz w:val="21"/>
              </w:rPr>
            </w:pPr>
            <w:r/>
          </w:p>
        </w:tc>
      </w:tr>
      <w:tr>
        <w:trPr>
          <w:trHeight w:val="422" w:hRule="atLeast"/>
        </w:trPr>
        <w:tc>
          <w:tcPr>
            <w:tcW w:w="4442" w:type="dxa"/>
            <w:vAlign w:val="top"/>
          </w:tcPr>
          <w:p>
            <w:pPr>
              <w:pStyle w:val="TableText"/>
              <w:ind w:left="98"/>
              <w:spacing w:before="113" w:line="219" w:lineRule="auto"/>
              <w:rPr/>
            </w:pPr>
            <w:r>
              <w:rPr>
                <w:color w:val="212529"/>
                <w:spacing w:val="-1"/>
              </w:rPr>
              <w:t>4.应急保障用车</w:t>
            </w:r>
          </w:p>
        </w:tc>
        <w:tc>
          <w:tcPr>
            <w:tcW w:w="971" w:type="dxa"/>
            <w:vAlign w:val="top"/>
          </w:tcPr>
          <w:p>
            <w:pPr>
              <w:pStyle w:val="TableText"/>
              <w:ind w:left="399"/>
              <w:spacing w:before="141" w:line="184" w:lineRule="auto"/>
              <w:rPr/>
            </w:pPr>
            <w:r>
              <w:rPr>
                <w:color w:val="212529"/>
                <w:spacing w:val="-11"/>
              </w:rPr>
              <w:t>11</w:t>
            </w:r>
          </w:p>
        </w:tc>
        <w:tc>
          <w:tcPr>
            <w:tcW w:w="3603" w:type="dxa"/>
            <w:vAlign w:val="top"/>
          </w:tcPr>
          <w:p>
            <w:pPr>
              <w:rPr>
                <w:rFonts w:ascii="Arial"/>
                <w:sz w:val="21"/>
              </w:rPr>
            </w:pPr>
            <w:r/>
          </w:p>
        </w:tc>
      </w:tr>
      <w:tr>
        <w:trPr>
          <w:trHeight w:val="422" w:hRule="atLeast"/>
        </w:trPr>
        <w:tc>
          <w:tcPr>
            <w:tcW w:w="4442" w:type="dxa"/>
            <w:vAlign w:val="top"/>
          </w:tcPr>
          <w:p>
            <w:pPr>
              <w:pStyle w:val="TableText"/>
              <w:ind w:left="102"/>
              <w:spacing w:before="113" w:line="219" w:lineRule="auto"/>
              <w:rPr/>
            </w:pPr>
            <w:r>
              <w:rPr>
                <w:color w:val="212529"/>
                <w:spacing w:val="-2"/>
              </w:rPr>
              <w:t>5.执法执勤用车</w:t>
            </w:r>
          </w:p>
        </w:tc>
        <w:tc>
          <w:tcPr>
            <w:tcW w:w="971" w:type="dxa"/>
            <w:vAlign w:val="top"/>
          </w:tcPr>
          <w:p>
            <w:pPr>
              <w:pStyle w:val="TableText"/>
              <w:ind w:left="399"/>
              <w:spacing w:before="141" w:line="184" w:lineRule="auto"/>
              <w:rPr/>
            </w:pPr>
            <w:r>
              <w:rPr>
                <w:color w:val="212529"/>
                <w:spacing w:val="-11"/>
              </w:rPr>
              <w:t>12</w:t>
            </w:r>
          </w:p>
        </w:tc>
        <w:tc>
          <w:tcPr>
            <w:tcW w:w="3603" w:type="dxa"/>
            <w:vAlign w:val="top"/>
          </w:tcPr>
          <w:p>
            <w:pPr>
              <w:rPr>
                <w:rFonts w:ascii="Arial"/>
                <w:sz w:val="21"/>
              </w:rPr>
            </w:pPr>
            <w:r/>
          </w:p>
        </w:tc>
      </w:tr>
      <w:tr>
        <w:trPr>
          <w:trHeight w:val="422" w:hRule="atLeast"/>
        </w:trPr>
        <w:tc>
          <w:tcPr>
            <w:tcW w:w="4442" w:type="dxa"/>
            <w:vAlign w:val="top"/>
          </w:tcPr>
          <w:p>
            <w:pPr>
              <w:pStyle w:val="TableText"/>
              <w:ind w:left="100"/>
              <w:spacing w:before="114" w:line="219" w:lineRule="auto"/>
              <w:rPr/>
            </w:pPr>
            <w:r>
              <w:rPr>
                <w:color w:val="212529"/>
                <w:spacing w:val="-1"/>
              </w:rPr>
              <w:t>6.特种专业技术用车</w:t>
            </w:r>
          </w:p>
        </w:tc>
        <w:tc>
          <w:tcPr>
            <w:tcW w:w="971" w:type="dxa"/>
            <w:vAlign w:val="top"/>
          </w:tcPr>
          <w:p>
            <w:pPr>
              <w:pStyle w:val="TableText"/>
              <w:ind w:left="399"/>
              <w:spacing w:before="141" w:line="184" w:lineRule="auto"/>
              <w:rPr/>
            </w:pPr>
            <w:r>
              <w:rPr>
                <w:color w:val="212529"/>
                <w:spacing w:val="-11"/>
              </w:rPr>
              <w:t>13</w:t>
            </w:r>
          </w:p>
        </w:tc>
        <w:tc>
          <w:tcPr>
            <w:tcW w:w="3603" w:type="dxa"/>
            <w:vAlign w:val="top"/>
          </w:tcPr>
          <w:p>
            <w:pPr>
              <w:rPr>
                <w:rFonts w:ascii="Arial"/>
                <w:sz w:val="21"/>
              </w:rPr>
            </w:pPr>
            <w:r/>
          </w:p>
        </w:tc>
      </w:tr>
      <w:tr>
        <w:trPr>
          <w:trHeight w:val="422" w:hRule="atLeast"/>
        </w:trPr>
        <w:tc>
          <w:tcPr>
            <w:tcW w:w="4442" w:type="dxa"/>
            <w:vAlign w:val="top"/>
          </w:tcPr>
          <w:p>
            <w:pPr>
              <w:pStyle w:val="TableText"/>
              <w:ind w:left="103"/>
              <w:spacing w:before="113" w:line="219" w:lineRule="auto"/>
              <w:rPr/>
            </w:pPr>
            <w:r>
              <w:rPr>
                <w:color w:val="212529"/>
                <w:spacing w:val="-2"/>
              </w:rPr>
              <w:t>7.离退休干部服务用车</w:t>
            </w:r>
          </w:p>
        </w:tc>
        <w:tc>
          <w:tcPr>
            <w:tcW w:w="971" w:type="dxa"/>
            <w:vAlign w:val="top"/>
          </w:tcPr>
          <w:p>
            <w:pPr>
              <w:pStyle w:val="TableText"/>
              <w:ind w:left="399"/>
              <w:spacing w:before="141" w:line="184" w:lineRule="auto"/>
              <w:rPr/>
            </w:pPr>
            <w:r>
              <w:rPr>
                <w:color w:val="212529"/>
                <w:spacing w:val="-11"/>
              </w:rPr>
              <w:t>14</w:t>
            </w:r>
          </w:p>
        </w:tc>
        <w:tc>
          <w:tcPr>
            <w:tcW w:w="3603" w:type="dxa"/>
            <w:vAlign w:val="top"/>
          </w:tcPr>
          <w:p>
            <w:pPr>
              <w:rPr>
                <w:rFonts w:ascii="Arial"/>
                <w:sz w:val="21"/>
              </w:rPr>
            </w:pPr>
            <w:r/>
          </w:p>
        </w:tc>
      </w:tr>
      <w:tr>
        <w:trPr>
          <w:trHeight w:val="422" w:hRule="atLeast"/>
        </w:trPr>
        <w:tc>
          <w:tcPr>
            <w:tcW w:w="4442" w:type="dxa"/>
            <w:vAlign w:val="top"/>
          </w:tcPr>
          <w:p>
            <w:pPr>
              <w:pStyle w:val="TableText"/>
              <w:ind w:left="99"/>
              <w:spacing w:before="114" w:line="219" w:lineRule="auto"/>
              <w:rPr/>
            </w:pPr>
            <w:r>
              <w:rPr>
                <w:color w:val="212529"/>
                <w:spacing w:val="-2"/>
              </w:rPr>
              <w:t>8.其他用车</w:t>
            </w:r>
          </w:p>
        </w:tc>
        <w:tc>
          <w:tcPr>
            <w:tcW w:w="971" w:type="dxa"/>
            <w:vAlign w:val="top"/>
          </w:tcPr>
          <w:p>
            <w:pPr>
              <w:pStyle w:val="TableText"/>
              <w:ind w:left="399"/>
              <w:spacing w:before="141" w:line="184" w:lineRule="auto"/>
              <w:rPr/>
            </w:pPr>
            <w:r>
              <w:rPr>
                <w:color w:val="212529"/>
                <w:spacing w:val="-11"/>
              </w:rPr>
              <w:t>15</w:t>
            </w:r>
          </w:p>
        </w:tc>
        <w:tc>
          <w:tcPr>
            <w:tcW w:w="3603" w:type="dxa"/>
            <w:vAlign w:val="top"/>
          </w:tcPr>
          <w:p>
            <w:pPr>
              <w:rPr>
                <w:rFonts w:ascii="Arial"/>
                <w:sz w:val="21"/>
              </w:rPr>
            </w:pPr>
            <w:r/>
          </w:p>
        </w:tc>
      </w:tr>
      <w:tr>
        <w:trPr>
          <w:trHeight w:val="422" w:hRule="atLeast"/>
        </w:trPr>
        <w:tc>
          <w:tcPr>
            <w:tcW w:w="4442" w:type="dxa"/>
            <w:vAlign w:val="top"/>
          </w:tcPr>
          <w:p>
            <w:pPr>
              <w:pStyle w:val="TableText"/>
              <w:ind w:left="13"/>
              <w:spacing w:before="114" w:line="218" w:lineRule="auto"/>
              <w:rPr/>
            </w:pPr>
            <w:r>
              <w:rPr>
                <w:color w:val="212529"/>
                <w:spacing w:val="-1"/>
              </w:rPr>
              <w:t>（二）单价100万元（含）以上设备（不含车辆）</w:t>
            </w:r>
          </w:p>
        </w:tc>
        <w:tc>
          <w:tcPr>
            <w:tcW w:w="971" w:type="dxa"/>
            <w:vAlign w:val="top"/>
          </w:tcPr>
          <w:p>
            <w:pPr>
              <w:pStyle w:val="TableText"/>
              <w:ind w:left="399"/>
              <w:spacing w:before="141" w:line="184" w:lineRule="auto"/>
              <w:rPr/>
            </w:pPr>
            <w:r>
              <w:rPr>
                <w:color w:val="212529"/>
                <w:spacing w:val="-11"/>
              </w:rPr>
              <w:t>17</w:t>
            </w:r>
          </w:p>
        </w:tc>
        <w:tc>
          <w:tcPr>
            <w:tcW w:w="3603"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
          <w:footerReference w:type="default" r:id="rId16"/>
          <w:pgSz w:w="11900" w:h="16840"/>
          <w:pgMar w:top="610" w:right="600" w:bottom="312" w:left="60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06" w:right="937" w:firstLine="499"/>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2023年度收入总计309.29万元，支出总计309.29万元。与上年相比，收入总计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1"/>
        </w:rPr>
        <w:t>增加77.75万元，增长33.58%，支出总计增加77.75万元，增长33.58%。主要原因</w:t>
      </w:r>
    </w:p>
    <w:p>
      <w:pPr>
        <w:ind w:left="707"/>
        <w:spacing w:before="40" w:line="225" w:lineRule="auto"/>
        <w:rPr>
          <w:rFonts w:ascii="FangSong" w:hAnsi="FangSong" w:eastAsia="FangSong" w:cs="FangSong"/>
          <w:sz w:val="25"/>
          <w:szCs w:val="25"/>
        </w:rPr>
      </w:pPr>
      <w:r>
        <w:rPr>
          <w:rFonts w:ascii="FangSong" w:hAnsi="FangSong" w:eastAsia="FangSong" w:cs="FangSong"/>
          <w:sz w:val="25"/>
          <w:szCs w:val="25"/>
        </w:rPr>
        <w:t>是宣传费用和专题学习费用的增加。</w:t>
      </w:r>
    </w:p>
    <w:p>
      <w:pPr>
        <w:ind w:left="1202"/>
        <w:spacing w:before="128"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rPr>
        <w:t>2023年度收入合计309.29万元，其中：</w:t>
      </w:r>
    </w:p>
    <w:p>
      <w:pPr>
        <w:ind w:left="1212" w:right="4898"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财政拨款收入309.29万元，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277" w:hanging="4"/>
        <w:spacing w:before="132" w:line="304" w:lineRule="auto"/>
        <w:rPr>
          <w:rFonts w:ascii="FangSong" w:hAnsi="FangSong" w:eastAsia="FangSong" w:cs="FangSong"/>
          <w:sz w:val="25"/>
          <w:szCs w:val="25"/>
        </w:rPr>
      </w:pPr>
      <w:r>
        <w:rPr>
          <w:rFonts w:ascii="FangSong" w:hAnsi="FangSong" w:eastAsia="FangSong" w:cs="FangSong"/>
          <w:sz w:val="25"/>
          <w:szCs w:val="25"/>
          <w:spacing w:val="-2"/>
        </w:rPr>
        <w:t>2023年度支出合计309.29万元，其中：</w:t>
      </w:r>
      <w:r>
        <w:rPr>
          <w:rFonts w:ascii="FangSong" w:hAnsi="FangSong" w:eastAsia="FangSong" w:cs="FangSong"/>
          <w:sz w:val="25"/>
          <w:szCs w:val="25"/>
          <w:spacing w:val="9"/>
        </w:rPr>
        <w:t xml:space="preserve"> </w:t>
      </w:r>
      <w:r>
        <w:rPr>
          <w:rFonts w:ascii="FangSong" w:hAnsi="FangSong" w:eastAsia="FangSong" w:cs="FangSong"/>
          <w:sz w:val="25"/>
          <w:szCs w:val="25"/>
          <w:spacing w:val="-3"/>
        </w:rPr>
        <w:t>基本支出163.78万元，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占比52.96%；</w:t>
      </w:r>
    </w:p>
    <w:p>
      <w:pPr>
        <w:ind w:left="1211"/>
        <w:spacing w:before="40" w:line="224" w:lineRule="auto"/>
        <w:rPr>
          <w:rFonts w:ascii="FangSong" w:hAnsi="FangSong" w:eastAsia="FangSong" w:cs="FangSong"/>
          <w:sz w:val="25"/>
          <w:szCs w:val="25"/>
        </w:rPr>
      </w:pPr>
      <w:r>
        <w:rPr>
          <w:rFonts w:ascii="FangSong" w:hAnsi="FangSong" w:eastAsia="FangSong" w:cs="FangSong"/>
          <w:sz w:val="25"/>
          <w:szCs w:val="25"/>
          <w:spacing w:val="-3"/>
        </w:rPr>
        <w:t>项目支出145.50万元，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占比47.04%；</w:t>
      </w:r>
    </w:p>
    <w:p>
      <w:pPr>
        <w:ind w:left="1210" w:right="6158"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2"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1"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09" w:right="988" w:firstLine="496"/>
        <w:spacing w:before="132" w:line="309" w:lineRule="auto"/>
        <w:jc w:val="both"/>
        <w:rPr>
          <w:rFonts w:ascii="FangSong" w:hAnsi="FangSong" w:eastAsia="FangSong" w:cs="FangSong"/>
          <w:sz w:val="25"/>
          <w:szCs w:val="25"/>
        </w:rPr>
      </w:pPr>
      <w:r>
        <w:rPr>
          <w:rFonts w:ascii="FangSong" w:hAnsi="FangSong" w:eastAsia="FangSong" w:cs="FangSong"/>
          <w:sz w:val="25"/>
          <w:szCs w:val="25"/>
        </w:rPr>
        <w:t>2023年度财政拨款收入总计309.29万元，支出总计309.29万元。与上年相比，</w:t>
      </w:r>
      <w:r>
        <w:rPr>
          <w:rFonts w:ascii="FangSong" w:hAnsi="FangSong" w:eastAsia="FangSong" w:cs="FangSong"/>
          <w:sz w:val="25"/>
          <w:szCs w:val="25"/>
          <w:spacing w:val="4"/>
        </w:rPr>
        <w:t xml:space="preserve"> </w:t>
      </w:r>
      <w:r>
        <w:rPr>
          <w:rFonts w:ascii="FangSong" w:hAnsi="FangSong" w:eastAsia="FangSong" w:cs="FangSong"/>
          <w:sz w:val="25"/>
          <w:szCs w:val="25"/>
          <w:spacing w:val="1"/>
        </w:rPr>
        <w:t>财政拨款收入总计增加77.75万元，增长33.58%；财政拨款支出总计增加77.75万</w:t>
      </w:r>
      <w:r>
        <w:rPr>
          <w:rFonts w:ascii="FangSong" w:hAnsi="FangSong" w:eastAsia="FangSong" w:cs="FangSong"/>
          <w:sz w:val="25"/>
          <w:szCs w:val="25"/>
          <w:spacing w:val="6"/>
        </w:rPr>
        <w:t xml:space="preserve">  </w:t>
      </w:r>
      <w:r>
        <w:rPr>
          <w:rFonts w:ascii="FangSong" w:hAnsi="FangSong" w:eastAsia="FangSong" w:cs="FangSong"/>
          <w:sz w:val="25"/>
          <w:szCs w:val="25"/>
          <w:spacing w:val="1"/>
        </w:rPr>
        <w:t>元，增长33.58%。主要原因是宣传费用和专题学习费用的增加。</w:t>
      </w:r>
    </w:p>
    <w:p>
      <w:pPr>
        <w:ind w:left="1204"/>
        <w:spacing w:before="41"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717" w:right="1693" w:firstLine="488"/>
        <w:spacing w:before="130" w:line="304" w:lineRule="auto"/>
        <w:rPr>
          <w:rFonts w:ascii="FangSong" w:hAnsi="FangSong" w:eastAsia="FangSong" w:cs="FangSong"/>
          <w:sz w:val="25"/>
          <w:szCs w:val="25"/>
        </w:rPr>
      </w:pPr>
      <w:r>
        <w:rPr>
          <w:rFonts w:ascii="FangSong" w:hAnsi="FangSong" w:eastAsia="FangSong" w:cs="FangSong"/>
          <w:sz w:val="25"/>
          <w:szCs w:val="25"/>
        </w:rPr>
        <w:t>2023年一般公共预算财政拨款决算支出309.</w:t>
      </w:r>
      <w:r>
        <w:rPr>
          <w:rFonts w:ascii="FangSong" w:hAnsi="FangSong" w:eastAsia="FangSong" w:cs="FangSong"/>
          <w:sz w:val="25"/>
          <w:szCs w:val="25"/>
          <w:spacing w:val="-1"/>
        </w:rPr>
        <w:t>29万元，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r>
        <w:rPr>
          <w:rFonts w:ascii="FangSong" w:hAnsi="FangSong" w:eastAsia="FangSong" w:cs="FangSong"/>
          <w:sz w:val="25"/>
          <w:szCs w:val="25"/>
        </w:rPr>
        <w:t xml:space="preserve"> </w:t>
      </w:r>
      <w:r>
        <w:rPr>
          <w:rFonts w:ascii="FangSong" w:hAnsi="FangSong" w:eastAsia="FangSong" w:cs="FangSong"/>
          <w:sz w:val="25"/>
          <w:szCs w:val="25"/>
          <w:spacing w:val="1"/>
        </w:rPr>
        <w:t>100.00%。与上年相比，一般公共预算财政拨款支出增加77.75万元，增长</w:t>
      </w:r>
    </w:p>
    <w:p>
      <w:pPr>
        <w:ind w:left="704"/>
        <w:spacing w:before="41" w:line="225" w:lineRule="auto"/>
        <w:rPr>
          <w:rFonts w:ascii="FangSong" w:hAnsi="FangSong" w:eastAsia="FangSong" w:cs="FangSong"/>
          <w:sz w:val="25"/>
          <w:szCs w:val="25"/>
        </w:rPr>
      </w:pPr>
      <w:r>
        <w:rPr>
          <w:rFonts w:ascii="FangSong" w:hAnsi="FangSong" w:eastAsia="FangSong" w:cs="FangSong"/>
          <w:sz w:val="25"/>
          <w:szCs w:val="25"/>
          <w:spacing w:val="1"/>
        </w:rPr>
        <w:t>33.58%。主要原因是宣传费用和专题学习费用的增加。</w:t>
      </w:r>
    </w:p>
    <w:p>
      <w:pPr>
        <w:ind w:left="1221"/>
        <w:spacing w:before="129"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214" w:right="1748" w:hanging="8"/>
        <w:spacing w:before="131"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2023年度一般公共预算财政拨款支出309.29万元，主要用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2"/>
        </w:rPr>
        <w:t>一般公共服务支出(类)264.07万元，</w:t>
      </w:r>
      <w:r>
        <w:rPr>
          <w:rFonts w:ascii="FangSong" w:hAnsi="FangSong" w:eastAsia="FangSong" w:cs="FangSong"/>
          <w:sz w:val="25"/>
          <w:szCs w:val="25"/>
          <w:spacing w:val="-47"/>
        </w:rPr>
        <w:t xml:space="preserve"> </w:t>
      </w:r>
      <w:r>
        <w:rPr>
          <w:rFonts w:ascii="FangSong" w:hAnsi="FangSong" w:eastAsia="FangSong" w:cs="FangSong"/>
          <w:sz w:val="25"/>
          <w:szCs w:val="25"/>
          <w:spacing w:val="-2"/>
        </w:rPr>
        <w:t>占比85.38%；</w:t>
      </w:r>
    </w:p>
    <w:p>
      <w:pPr>
        <w:ind w:left="1210"/>
        <w:spacing w:before="41" w:line="222" w:lineRule="auto"/>
        <w:rPr>
          <w:rFonts w:ascii="FangSong" w:hAnsi="FangSong" w:eastAsia="FangSong" w:cs="FangSong"/>
          <w:sz w:val="25"/>
          <w:szCs w:val="25"/>
        </w:rPr>
      </w:pPr>
      <w:r>
        <w:rPr>
          <w:rFonts w:ascii="FangSong" w:hAnsi="FangSong" w:eastAsia="FangSong" w:cs="FangSong"/>
          <w:sz w:val="25"/>
          <w:szCs w:val="25"/>
          <w:spacing w:val="-1"/>
        </w:rPr>
        <w:t>文化旅游体育与传媒支出(类)12.41万元，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占比4.0</w:t>
      </w:r>
      <w:r>
        <w:rPr>
          <w:rFonts w:ascii="FangSong" w:hAnsi="FangSong" w:eastAsia="FangSong" w:cs="FangSong"/>
          <w:sz w:val="25"/>
          <w:szCs w:val="25"/>
          <w:spacing w:val="-2"/>
        </w:rPr>
        <w:t>1%；</w:t>
      </w:r>
    </w:p>
    <w:p>
      <w:pPr>
        <w:spacing w:line="222" w:lineRule="auto"/>
        <w:sectPr>
          <w:footerReference w:type="default" r:id="rId17"/>
          <w:pgSz w:w="11900" w:h="16840"/>
          <w:pgMar w:top="610" w:right="600" w:bottom="312" w:left="600" w:header="357" w:footer="153" w:gutter="0"/>
        </w:sectPr>
        <w:rPr>
          <w:rFonts w:ascii="FangSong" w:hAnsi="FangSong" w:eastAsia="FangSong" w:cs="FangSong"/>
          <w:sz w:val="25"/>
          <w:szCs w:val="25"/>
        </w:rPr>
      </w:pPr>
    </w:p>
    <w:p>
      <w:pPr>
        <w:pStyle w:val="BodyText"/>
        <w:spacing w:line="422" w:lineRule="auto"/>
        <w:rPr/>
      </w:pPr>
      <w:r/>
    </w:p>
    <w:p>
      <w:pPr>
        <w:ind w:left="1210" w:right="4016"/>
        <w:spacing w:before="81" w:line="303" w:lineRule="auto"/>
        <w:rPr>
          <w:rFonts w:ascii="FangSong" w:hAnsi="FangSong" w:eastAsia="FangSong" w:cs="FangSong"/>
          <w:sz w:val="25"/>
          <w:szCs w:val="25"/>
        </w:rPr>
      </w:pPr>
      <w:r>
        <w:rPr>
          <w:rFonts w:ascii="FangSong" w:hAnsi="FangSong" w:eastAsia="FangSong" w:cs="FangSong"/>
          <w:sz w:val="25"/>
          <w:szCs w:val="25"/>
          <w:spacing w:val="-3"/>
        </w:rPr>
        <w:t>社会保障和就业支出(类)18.71万元，</w:t>
      </w:r>
      <w:r>
        <w:rPr>
          <w:rFonts w:ascii="FangSong" w:hAnsi="FangSong" w:eastAsia="FangSong" w:cs="FangSong"/>
          <w:sz w:val="25"/>
          <w:szCs w:val="25"/>
          <w:spacing w:val="-64"/>
        </w:rPr>
        <w:t xml:space="preserve"> </w:t>
      </w:r>
      <w:r>
        <w:rPr>
          <w:rFonts w:ascii="FangSong" w:hAnsi="FangSong" w:eastAsia="FangSong" w:cs="FangSong"/>
          <w:sz w:val="25"/>
          <w:szCs w:val="25"/>
          <w:spacing w:val="-3"/>
        </w:rPr>
        <w:t>占比</w:t>
      </w:r>
      <w:r>
        <w:rPr>
          <w:rFonts w:ascii="FangSong" w:hAnsi="FangSong" w:eastAsia="FangSong" w:cs="FangSong"/>
          <w:sz w:val="25"/>
          <w:szCs w:val="25"/>
          <w:spacing w:val="-4"/>
        </w:rPr>
        <w:t>6.05%；</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住房保障支出(类)13.14万元，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占比4.25%；</w:t>
      </w:r>
    </w:p>
    <w:p>
      <w:pPr>
        <w:ind w:left="1212"/>
        <w:spacing w:before="42" w:line="223" w:lineRule="auto"/>
        <w:rPr>
          <w:rFonts w:ascii="FangSong" w:hAnsi="FangSong" w:eastAsia="FangSong" w:cs="FangSong"/>
          <w:sz w:val="25"/>
          <w:szCs w:val="25"/>
        </w:rPr>
      </w:pPr>
      <w:r>
        <w:rPr>
          <w:rFonts w:ascii="FangSong" w:hAnsi="FangSong" w:eastAsia="FangSong" w:cs="FangSong"/>
          <w:sz w:val="25"/>
          <w:szCs w:val="25"/>
          <w:spacing w:val="-3"/>
        </w:rPr>
        <w:t>其他支出(类)0.96万元，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占比0.31%。</w:t>
      </w:r>
    </w:p>
    <w:p>
      <w:pPr>
        <w:ind w:left="1221"/>
        <w:spacing w:before="130"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0" w:right="937"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2023年度一般公共预算财政拨款支出年初预算280.98万元，支出决算309.29万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元，完成年初预算的110.07%。其中：</w:t>
      </w:r>
    </w:p>
    <w:p>
      <w:pPr>
        <w:ind w:left="706" w:right="811" w:firstLine="508"/>
        <w:spacing w:before="43" w:line="309" w:lineRule="auto"/>
        <w:jc w:val="both"/>
        <w:rPr>
          <w:rFonts w:ascii="FangSong" w:hAnsi="FangSong" w:eastAsia="FangSong" w:cs="FangSong"/>
          <w:sz w:val="25"/>
          <w:szCs w:val="25"/>
        </w:rPr>
      </w:pPr>
      <w:r>
        <w:rPr>
          <w:rFonts w:ascii="FangSong" w:hAnsi="FangSong" w:eastAsia="FangSong" w:cs="FangSong"/>
          <w:sz w:val="25"/>
          <w:szCs w:val="25"/>
          <w:spacing w:val="1"/>
        </w:rPr>
        <w:t>一般公共服务支出年初预算253.02万元，支出决算264.07万元，完成年初预算</w:t>
      </w:r>
      <w:r>
        <w:rPr>
          <w:rFonts w:ascii="FangSong" w:hAnsi="FangSong" w:eastAsia="FangSong" w:cs="FangSong"/>
          <w:sz w:val="25"/>
          <w:szCs w:val="25"/>
          <w:spacing w:val="3"/>
        </w:rPr>
        <w:t xml:space="preserve">  </w:t>
      </w:r>
      <w:r>
        <w:rPr>
          <w:rFonts w:ascii="FangSong" w:hAnsi="FangSong" w:eastAsia="FangSong" w:cs="FangSong"/>
          <w:sz w:val="25"/>
          <w:szCs w:val="25"/>
        </w:rPr>
        <w:t>的104.37%，用于人员经费、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日常公用经费、宣</w:t>
      </w:r>
      <w:r>
        <w:rPr>
          <w:rFonts w:ascii="FangSong" w:hAnsi="FangSong" w:eastAsia="FangSong" w:cs="FangSong"/>
          <w:sz w:val="25"/>
          <w:szCs w:val="25"/>
          <w:spacing w:val="-1"/>
        </w:rPr>
        <w:t>传思想文化项目等资金。较上年决算</w:t>
      </w:r>
      <w:r>
        <w:rPr>
          <w:rFonts w:ascii="FangSong" w:hAnsi="FangSong" w:eastAsia="FangSong" w:cs="FangSong"/>
          <w:sz w:val="25"/>
          <w:szCs w:val="25"/>
        </w:rPr>
        <w:t xml:space="preserve"> </w:t>
      </w:r>
      <w:r>
        <w:rPr>
          <w:rFonts w:ascii="FangSong" w:hAnsi="FangSong" w:eastAsia="FangSong" w:cs="FangSong"/>
          <w:sz w:val="25"/>
          <w:szCs w:val="25"/>
          <w:spacing w:val="1"/>
        </w:rPr>
        <w:t>增加80.66万元，增长43.98%。主要原因是宣传费用和专题学习费用的增加。</w:t>
      </w:r>
    </w:p>
    <w:p>
      <w:pPr>
        <w:ind w:left="706"/>
        <w:spacing w:before="40" w:line="222" w:lineRule="auto"/>
        <w:rPr>
          <w:rFonts w:ascii="FangSong" w:hAnsi="FangSong" w:eastAsia="FangSong" w:cs="FangSong"/>
          <w:sz w:val="25"/>
          <w:szCs w:val="25"/>
        </w:rPr>
      </w:pPr>
      <w:r>
        <w:rPr>
          <w:rFonts w:ascii="FangSong" w:hAnsi="FangSong" w:eastAsia="FangSong" w:cs="FangSong"/>
          <w:sz w:val="25"/>
          <w:szCs w:val="25"/>
          <w:spacing w:val="1"/>
        </w:rPr>
        <w:t>文化旅游体育与传媒支出年初预算0万元，支出决算12.41万元，完成年初预算的</w:t>
      </w:r>
    </w:p>
    <w:p>
      <w:pPr>
        <w:ind w:left="698" w:right="811" w:firstLine="20"/>
        <w:spacing w:before="131" w:line="304" w:lineRule="auto"/>
        <w:rPr>
          <w:rFonts w:ascii="FangSong" w:hAnsi="FangSong" w:eastAsia="FangSong" w:cs="FangSong"/>
          <w:sz w:val="25"/>
          <w:szCs w:val="25"/>
        </w:rPr>
      </w:pPr>
      <w:r>
        <w:rPr>
          <w:rFonts w:ascii="FangSong" w:hAnsi="FangSong" w:eastAsia="FangSong" w:cs="FangSong"/>
          <w:sz w:val="25"/>
          <w:szCs w:val="25"/>
          <w:spacing w:val="1"/>
        </w:rPr>
        <w:t>∞%，用于县各行政村农家书屋补充更新书目资金，较上年决算减少8.99万元，减少</w:t>
      </w:r>
      <w:r>
        <w:rPr>
          <w:rFonts w:ascii="FangSong" w:hAnsi="FangSong" w:eastAsia="FangSong" w:cs="FangSong"/>
          <w:sz w:val="25"/>
          <w:szCs w:val="25"/>
          <w:spacing w:val="5"/>
        </w:rPr>
        <w:t xml:space="preserve"> </w:t>
      </w:r>
      <w:r>
        <w:rPr>
          <w:rFonts w:ascii="FangSong" w:hAnsi="FangSong" w:eastAsia="FangSong" w:cs="FangSong"/>
          <w:sz w:val="25"/>
          <w:szCs w:val="25"/>
          <w:spacing w:val="1"/>
        </w:rPr>
        <w:t>42.01%，主要原因为2023年减少了上级专款配套资金。</w:t>
      </w:r>
    </w:p>
    <w:p>
      <w:pPr>
        <w:ind w:left="706"/>
        <w:spacing w:before="42" w:line="222" w:lineRule="auto"/>
        <w:rPr>
          <w:rFonts w:ascii="FangSong" w:hAnsi="FangSong" w:eastAsia="FangSong" w:cs="FangSong"/>
          <w:sz w:val="25"/>
          <w:szCs w:val="25"/>
        </w:rPr>
      </w:pPr>
      <w:r>
        <w:rPr>
          <w:rFonts w:ascii="FangSong" w:hAnsi="FangSong" w:eastAsia="FangSong" w:cs="FangSong"/>
          <w:sz w:val="25"/>
          <w:szCs w:val="25"/>
          <w:spacing w:val="1"/>
        </w:rPr>
        <w:t>社会保障和就业支出年初预算16.73万元，支出决算18.71万元，完成年初预算的</w:t>
      </w:r>
    </w:p>
    <w:p>
      <w:pPr>
        <w:ind w:left="706" w:right="811" w:firstLine="10"/>
        <w:spacing w:before="132" w:line="303" w:lineRule="auto"/>
        <w:rPr>
          <w:rFonts w:ascii="FangSong" w:hAnsi="FangSong" w:eastAsia="FangSong" w:cs="FangSong"/>
          <w:sz w:val="25"/>
          <w:szCs w:val="25"/>
        </w:rPr>
      </w:pPr>
      <w:r>
        <w:rPr>
          <w:rFonts w:ascii="FangSong" w:hAnsi="FangSong" w:eastAsia="FangSong" w:cs="FangSong"/>
          <w:sz w:val="25"/>
          <w:szCs w:val="25"/>
          <w:spacing w:val="1"/>
        </w:rPr>
        <w:t>111.84%，用于支出机关养老保险、医疗保险等资金，较上年决算增加4.38万元，增</w:t>
      </w:r>
      <w:r>
        <w:rPr>
          <w:rFonts w:ascii="FangSong" w:hAnsi="FangSong" w:eastAsia="FangSong" w:cs="FangSong"/>
          <w:sz w:val="25"/>
          <w:szCs w:val="25"/>
          <w:spacing w:val="3"/>
        </w:rPr>
        <w:t xml:space="preserve"> </w:t>
      </w:r>
      <w:r>
        <w:rPr>
          <w:rFonts w:ascii="FangSong" w:hAnsi="FangSong" w:eastAsia="FangSong" w:cs="FangSong"/>
          <w:sz w:val="25"/>
          <w:szCs w:val="25"/>
          <w:spacing w:val="1"/>
        </w:rPr>
        <w:t>长30.57%。主要原因是2023年机关养老保险、医疗保险等基数调增，机关养老保</w:t>
      </w:r>
    </w:p>
    <w:p>
      <w:pPr>
        <w:ind w:left="718"/>
        <w:spacing w:before="43" w:line="222" w:lineRule="auto"/>
        <w:rPr>
          <w:rFonts w:ascii="FangSong" w:hAnsi="FangSong" w:eastAsia="FangSong" w:cs="FangSong"/>
          <w:sz w:val="25"/>
          <w:szCs w:val="25"/>
        </w:rPr>
      </w:pPr>
      <w:r>
        <w:rPr>
          <w:rFonts w:ascii="FangSong" w:hAnsi="FangSong" w:eastAsia="FangSong" w:cs="FangSong"/>
          <w:sz w:val="25"/>
          <w:szCs w:val="25"/>
          <w:spacing w:val="-1"/>
        </w:rPr>
        <w:t>险、医疗保险单位部分补助增加。</w:t>
      </w:r>
    </w:p>
    <w:p>
      <w:pPr>
        <w:ind w:left="706" w:right="811"/>
        <w:spacing w:before="129" w:line="309" w:lineRule="auto"/>
        <w:rPr>
          <w:rFonts w:ascii="FangSong" w:hAnsi="FangSong" w:eastAsia="FangSong" w:cs="FangSong"/>
          <w:sz w:val="25"/>
          <w:szCs w:val="25"/>
        </w:rPr>
      </w:pPr>
      <w:r>
        <w:rPr>
          <w:rFonts w:ascii="FangSong" w:hAnsi="FangSong" w:eastAsia="FangSong" w:cs="FangSong"/>
          <w:sz w:val="25"/>
          <w:szCs w:val="25"/>
          <w:spacing w:val="1"/>
        </w:rPr>
        <w:t>住房保障支出年初预算11.23万元，支出决算13.14万元，完成年初预算的117.01%，</w:t>
      </w:r>
      <w:r>
        <w:rPr>
          <w:rFonts w:ascii="FangSong" w:hAnsi="FangSong" w:eastAsia="FangSong" w:cs="FangSong"/>
          <w:sz w:val="25"/>
          <w:szCs w:val="25"/>
          <w:spacing w:val="10"/>
        </w:rPr>
        <w:t xml:space="preserve"> </w:t>
      </w:r>
      <w:r>
        <w:rPr>
          <w:rFonts w:ascii="FangSong" w:hAnsi="FangSong" w:eastAsia="FangSong" w:cs="FangSong"/>
          <w:sz w:val="25"/>
          <w:szCs w:val="25"/>
          <w:spacing w:val="1"/>
        </w:rPr>
        <w:t>用于公积金单位部分补助资金，较2022年决算增加1.05万元，增长8.68%，主要原因</w:t>
      </w:r>
      <w:r>
        <w:rPr>
          <w:rFonts w:ascii="FangSong" w:hAnsi="FangSong" w:eastAsia="FangSong" w:cs="FangSong"/>
          <w:sz w:val="25"/>
          <w:szCs w:val="25"/>
          <w:spacing w:val="12"/>
        </w:rPr>
        <w:t xml:space="preserve"> </w:t>
      </w:r>
      <w:r>
        <w:rPr>
          <w:rFonts w:ascii="FangSong" w:hAnsi="FangSong" w:eastAsia="FangSong" w:cs="FangSong"/>
          <w:sz w:val="25"/>
          <w:szCs w:val="25"/>
          <w:spacing w:val="1"/>
        </w:rPr>
        <w:t>为2023年公积金基数调增，公积金单位部分补助增加。</w:t>
      </w:r>
    </w:p>
    <w:p>
      <w:pPr>
        <w:ind w:left="711" w:right="811" w:hanging="3"/>
        <w:spacing w:before="42" w:line="309" w:lineRule="auto"/>
        <w:jc w:val="both"/>
        <w:rPr>
          <w:rFonts w:ascii="FangSong" w:hAnsi="FangSong" w:eastAsia="FangSong" w:cs="FangSong"/>
          <w:sz w:val="25"/>
          <w:szCs w:val="25"/>
        </w:rPr>
      </w:pPr>
      <w:r>
        <w:rPr>
          <w:rFonts w:ascii="FangSong" w:hAnsi="FangSong" w:eastAsia="FangSong" w:cs="FangSong"/>
          <w:sz w:val="25"/>
          <w:szCs w:val="25"/>
          <w:spacing w:val="1"/>
        </w:rPr>
        <w:t>其他支出年初预算0万元，支出决算0.96万元，</w:t>
      </w:r>
      <w:r>
        <w:rPr>
          <w:rFonts w:ascii="FangSong" w:hAnsi="FangSong" w:eastAsia="FangSong" w:cs="FangSong"/>
          <w:sz w:val="25"/>
          <w:szCs w:val="25"/>
        </w:rPr>
        <w:t>完成年初预算的</w:t>
      </w:r>
      <w:r>
        <w:rPr>
          <w:rFonts w:ascii="FangSong" w:hAnsi="FangSong" w:eastAsia="FangSong" w:cs="FangSong"/>
          <w:sz w:val="25"/>
          <w:szCs w:val="25"/>
          <w:spacing w:val="-95"/>
        </w:rPr>
        <w:t xml:space="preserve"> </w:t>
      </w:r>
      <w:r>
        <w:rPr>
          <w:rFonts w:ascii="FangSong" w:hAnsi="FangSong" w:eastAsia="FangSong" w:cs="FangSong"/>
          <w:sz w:val="25"/>
          <w:szCs w:val="25"/>
        </w:rPr>
        <w:t>∞%，用于发放2021</w:t>
      </w:r>
      <w:r>
        <w:rPr>
          <w:rFonts w:ascii="FangSong" w:hAnsi="FangSong" w:eastAsia="FangSong" w:cs="FangSong"/>
          <w:sz w:val="25"/>
          <w:szCs w:val="25"/>
        </w:rPr>
        <w:t xml:space="preserve">  </w:t>
      </w:r>
      <w:r>
        <w:rPr>
          <w:rFonts w:ascii="FangSong" w:hAnsi="FangSong" w:eastAsia="FangSong" w:cs="FangSong"/>
          <w:sz w:val="25"/>
          <w:szCs w:val="25"/>
          <w:spacing w:val="1"/>
        </w:rPr>
        <w:t>年度公务员目标责任考核奖金资金，较202</w:t>
      </w:r>
      <w:r>
        <w:rPr>
          <w:rFonts w:ascii="FangSong" w:hAnsi="FangSong" w:eastAsia="FangSong" w:cs="FangSong"/>
          <w:sz w:val="25"/>
          <w:szCs w:val="25"/>
        </w:rPr>
        <w:t>2年决算增加0.96万元，增长</w:t>
      </w:r>
      <w:r>
        <w:rPr>
          <w:rFonts w:ascii="FangSong" w:hAnsi="FangSong" w:eastAsia="FangSong" w:cs="FangSong"/>
          <w:sz w:val="25"/>
          <w:szCs w:val="25"/>
          <w:spacing w:val="-95"/>
        </w:rPr>
        <w:t xml:space="preserve"> </w:t>
      </w:r>
      <w:r>
        <w:rPr>
          <w:rFonts w:ascii="FangSong" w:hAnsi="FangSong" w:eastAsia="FangSong" w:cs="FangSong"/>
          <w:sz w:val="25"/>
          <w:szCs w:val="25"/>
        </w:rPr>
        <w:t>∞%，主要原</w:t>
      </w:r>
      <w:r>
        <w:rPr>
          <w:rFonts w:ascii="FangSong" w:hAnsi="FangSong" w:eastAsia="FangSong" w:cs="FangSong"/>
          <w:sz w:val="25"/>
          <w:szCs w:val="25"/>
        </w:rPr>
        <w:t xml:space="preserve"> </w:t>
      </w:r>
      <w:r>
        <w:rPr>
          <w:rFonts w:ascii="FangSong" w:hAnsi="FangSong" w:eastAsia="FangSong" w:cs="FangSong"/>
          <w:sz w:val="25"/>
          <w:szCs w:val="25"/>
          <w:spacing w:val="1"/>
        </w:rPr>
        <w:t>因为本年度补发2021年度公务员目标责任</w:t>
      </w:r>
      <w:r>
        <w:rPr>
          <w:rFonts w:ascii="FangSong" w:hAnsi="FangSong" w:eastAsia="FangSong" w:cs="FangSong"/>
          <w:sz w:val="25"/>
          <w:szCs w:val="25"/>
        </w:rPr>
        <w:t>考核奖金。</w:t>
      </w:r>
    </w:p>
    <w:p>
      <w:pPr>
        <w:ind w:left="1205"/>
        <w:spacing w:before="42"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2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2023年度财政拨款基本支出163.78万元，其中：</w:t>
      </w:r>
    </w:p>
    <w:p>
      <w:pPr>
        <w:ind w:left="1215"/>
        <w:spacing w:before="130" w:line="222" w:lineRule="auto"/>
        <w:rPr>
          <w:rFonts w:ascii="FangSong" w:hAnsi="FangSong" w:eastAsia="FangSong" w:cs="FangSong"/>
          <w:sz w:val="25"/>
          <w:szCs w:val="25"/>
        </w:rPr>
      </w:pPr>
      <w:r>
        <w:rPr>
          <w:rFonts w:ascii="FangSong" w:hAnsi="FangSong" w:eastAsia="FangSong" w:cs="FangSong"/>
          <w:sz w:val="25"/>
          <w:szCs w:val="25"/>
          <w:spacing w:val="1"/>
        </w:rPr>
        <w:t>人员经费145.31万元，主要包括工资、奖金、养老医疗工伤、取暖费等；</w:t>
      </w:r>
    </w:p>
    <w:p>
      <w:pPr>
        <w:ind w:left="707" w:right="805" w:firstLine="508"/>
        <w:spacing w:before="130" w:line="304" w:lineRule="auto"/>
        <w:rPr>
          <w:rFonts w:ascii="FangSong" w:hAnsi="FangSong" w:eastAsia="FangSong" w:cs="FangSong"/>
          <w:sz w:val="25"/>
          <w:szCs w:val="25"/>
        </w:rPr>
      </w:pPr>
      <w:r>
        <w:rPr>
          <w:rFonts w:ascii="FangSong" w:hAnsi="FangSong" w:eastAsia="FangSong" w:cs="FangSong"/>
          <w:sz w:val="25"/>
          <w:szCs w:val="25"/>
          <w:spacing w:val="1"/>
        </w:rPr>
        <w:t>公用经费18.47万元，主要包括办公费、邮电费、差旅费、工会费、福利费和其</w:t>
      </w:r>
      <w:r>
        <w:rPr>
          <w:rFonts w:ascii="FangSong" w:hAnsi="FangSong" w:eastAsia="FangSong" w:cs="FangSong"/>
          <w:sz w:val="25"/>
          <w:szCs w:val="25"/>
          <w:spacing w:val="15"/>
        </w:rPr>
        <w:t xml:space="preserve"> </w:t>
      </w:r>
      <w:r>
        <w:rPr>
          <w:rFonts w:ascii="FangSong" w:hAnsi="FangSong" w:eastAsia="FangSong" w:cs="FangSong"/>
          <w:sz w:val="25"/>
          <w:szCs w:val="25"/>
        </w:rPr>
        <w:t>他交通费用等日常公用经费。</w:t>
      </w:r>
    </w:p>
    <w:p>
      <w:pPr>
        <w:ind w:left="1197"/>
        <w:spacing w:before="42"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29"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30"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206"/>
        <w:spacing w:before="131" w:line="223"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p>
    <w:p>
      <w:pPr>
        <w:spacing w:line="223"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pStyle w:val="BodyText"/>
        <w:spacing w:line="278" w:lineRule="auto"/>
        <w:rPr/>
      </w:pPr>
      <w:r/>
    </w:p>
    <w:p>
      <w:pPr>
        <w:ind w:left="711"/>
        <w:spacing w:before="82" w:line="223" w:lineRule="auto"/>
        <w:rPr>
          <w:rFonts w:ascii="FangSong" w:hAnsi="FangSong" w:eastAsia="FangSong" w:cs="FangSong"/>
          <w:sz w:val="25"/>
          <w:szCs w:val="25"/>
        </w:rPr>
      </w:pPr>
      <w:bookmarkStart w:name="bookmark41" w:id="65"/>
      <w:bookmarkEnd w:id="65"/>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707" w:right="1309" w:firstLine="528"/>
        <w:spacing w:before="130"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是：我单位无因公出国（境）支出；</w:t>
      </w:r>
    </w:p>
    <w:p>
      <w:pPr>
        <w:ind w:left="711" w:right="805" w:firstLine="504"/>
        <w:spacing w:before="41"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公务用车购置费支出0万元，完成全年预算的0%，与上年相同，主要原因是：我</w:t>
      </w:r>
      <w:r>
        <w:rPr>
          <w:rFonts w:ascii="FangSong" w:hAnsi="FangSong" w:eastAsia="FangSong" w:cs="FangSong"/>
          <w:sz w:val="25"/>
          <w:szCs w:val="25"/>
          <w:spacing w:val="16"/>
        </w:rPr>
        <w:t xml:space="preserve"> </w:t>
      </w:r>
      <w:r>
        <w:rPr>
          <w:rFonts w:ascii="FangSong" w:hAnsi="FangSong" w:eastAsia="FangSong" w:cs="FangSong"/>
          <w:sz w:val="25"/>
          <w:szCs w:val="25"/>
          <w:spacing w:val="-1"/>
        </w:rPr>
        <w:t>单位无公务用车购置支出；</w:t>
      </w:r>
    </w:p>
    <w:p>
      <w:pPr>
        <w:ind w:left="707" w:right="1057"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是：我单位无公务用车运行维护支出；</w:t>
      </w:r>
    </w:p>
    <w:p>
      <w:pPr>
        <w:ind w:left="709" w:right="805" w:firstLine="506"/>
        <w:spacing w:before="44"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公务接待费支出0万元，完成全年预算的0%，与上年相同，主要原因是：我单位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无公务接待支出。</w:t>
      </w:r>
    </w:p>
    <w:p>
      <w:pPr>
        <w:ind w:left="12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712" w:right="793"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rPr>
        <w:t>车，主要用于：我单位无公务用车运行维护支出。</w:t>
      </w:r>
    </w:p>
    <w:p>
      <w:pPr>
        <w:ind w:left="12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707" w:right="781"/>
        <w:spacing w:before="129"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无公务接待支出；国（境）外接待费0万元，共接待国（境）外0批次，0人</w:t>
      </w:r>
      <w:r>
        <w:rPr>
          <w:rFonts w:ascii="FangSong" w:hAnsi="FangSong" w:eastAsia="FangSong" w:cs="FangSong"/>
          <w:sz w:val="25"/>
          <w:szCs w:val="25"/>
          <w:spacing w:val="1"/>
        </w:rPr>
        <w:t>次，主要</w:t>
      </w:r>
      <w:r>
        <w:rPr>
          <w:rFonts w:ascii="FangSong" w:hAnsi="FangSong" w:eastAsia="FangSong" w:cs="FangSong"/>
          <w:sz w:val="25"/>
          <w:szCs w:val="25"/>
        </w:rPr>
        <w:t xml:space="preserve"> </w:t>
      </w:r>
      <w:r>
        <w:rPr>
          <w:rFonts w:ascii="FangSong" w:hAnsi="FangSong" w:eastAsia="FangSong" w:cs="FangSong"/>
          <w:sz w:val="25"/>
          <w:szCs w:val="25"/>
        </w:rPr>
        <w:t>是我单位无国（境）外接待费支出。</w:t>
      </w:r>
    </w:p>
    <w:p>
      <w:pPr>
        <w:ind w:left="1201"/>
        <w:spacing w:before="43"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711" w:right="925" w:firstLine="494"/>
        <w:spacing w:before="131" w:line="304" w:lineRule="auto"/>
        <w:rPr>
          <w:rFonts w:ascii="FangSong" w:hAnsi="FangSong" w:eastAsia="FangSong" w:cs="FangSong"/>
          <w:sz w:val="25"/>
          <w:szCs w:val="25"/>
        </w:rPr>
      </w:pPr>
      <w:r>
        <w:rPr>
          <w:rFonts w:ascii="FangSong" w:hAnsi="FangSong" w:eastAsia="FangSong" w:cs="FangSong"/>
          <w:sz w:val="25"/>
          <w:szCs w:val="25"/>
        </w:rPr>
        <w:t>2023年机关运行经费支出18.47万元，</w:t>
      </w:r>
      <w:r>
        <w:rPr>
          <w:rFonts w:ascii="FangSong" w:hAnsi="FangSong" w:eastAsia="FangSong" w:cs="FangSong"/>
          <w:sz w:val="25"/>
          <w:szCs w:val="25"/>
          <w:spacing w:val="-58"/>
        </w:rPr>
        <w:t xml:space="preserve"> </w:t>
      </w:r>
      <w:r>
        <w:rPr>
          <w:rFonts w:ascii="FangSong" w:hAnsi="FangSong" w:eastAsia="FangSong" w:cs="FangSong"/>
          <w:sz w:val="25"/>
          <w:szCs w:val="25"/>
        </w:rPr>
        <w:t>比2022年增加1.47万元，增长8.65%，主</w:t>
      </w:r>
      <w:r>
        <w:rPr>
          <w:rFonts w:ascii="FangSong" w:hAnsi="FangSong" w:eastAsia="FangSong" w:cs="FangSong"/>
          <w:sz w:val="25"/>
          <w:szCs w:val="25"/>
        </w:rPr>
        <w:t xml:space="preserve"> </w:t>
      </w:r>
      <w:r>
        <w:rPr>
          <w:rFonts w:ascii="FangSong" w:hAnsi="FangSong" w:eastAsia="FangSong" w:cs="FangSong"/>
          <w:sz w:val="25"/>
          <w:szCs w:val="25"/>
          <w:spacing w:val="1"/>
        </w:rPr>
        <w:t>要原因</w:t>
      </w:r>
      <w:r>
        <w:rPr>
          <w:rFonts w:ascii="FangSong" w:hAnsi="FangSong" w:eastAsia="FangSong" w:cs="FangSong"/>
          <w:sz w:val="25"/>
          <w:szCs w:val="25"/>
          <w:spacing w:val="1"/>
        </w:rPr>
        <w:t xml:space="preserve"> </w:t>
      </w:r>
      <w:r>
        <w:rPr>
          <w:rFonts w:ascii="FangSong" w:hAnsi="FangSong" w:eastAsia="FangSong" w:cs="FangSong"/>
          <w:sz w:val="25"/>
          <w:szCs w:val="25"/>
          <w:spacing w:val="1"/>
        </w:rPr>
        <w:t>2023年人员工资基数增加,相应工会费和福利费经费增加。</w:t>
      </w:r>
    </w:p>
    <w:p>
      <w:pPr>
        <w:ind w:left="1221"/>
        <w:spacing w:before="42"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7" w:right="937" w:firstLine="498"/>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2023年度政府采购支出总额0.55万元，其中：政府采购货物支出0.55万元、政</w:t>
      </w:r>
      <w:r>
        <w:rPr>
          <w:rFonts w:ascii="FangSong" w:hAnsi="FangSong" w:eastAsia="FangSong" w:cs="FangSong"/>
          <w:sz w:val="25"/>
          <w:szCs w:val="25"/>
          <w:spacing w:val="15"/>
        </w:rPr>
        <w:t xml:space="preserve"> </w:t>
      </w:r>
      <w:r>
        <w:rPr>
          <w:rFonts w:ascii="FangSong" w:hAnsi="FangSong" w:eastAsia="FangSong" w:cs="FangSong"/>
          <w:sz w:val="25"/>
          <w:szCs w:val="25"/>
          <w:spacing w:val="2"/>
        </w:rPr>
        <w:t>府采购工程支出0万元、政府采购服务支出0万元。政府采购</w:t>
      </w:r>
      <w:r>
        <w:rPr>
          <w:rFonts w:ascii="FangSong" w:hAnsi="FangSong" w:eastAsia="FangSong" w:cs="FangSong"/>
          <w:sz w:val="25"/>
          <w:szCs w:val="25"/>
          <w:spacing w:val="1"/>
        </w:rPr>
        <w:t>授予中小企业合同金</w:t>
      </w:r>
    </w:p>
    <w:p>
      <w:pPr>
        <w:ind w:left="708" w:right="925" w:hanging="2"/>
        <w:spacing w:before="41" w:line="304" w:lineRule="auto"/>
        <w:rPr>
          <w:rFonts w:ascii="FangSong" w:hAnsi="FangSong" w:eastAsia="FangSong" w:cs="FangSong"/>
          <w:sz w:val="25"/>
          <w:szCs w:val="25"/>
        </w:rPr>
      </w:pPr>
      <w:r>
        <w:rPr>
          <w:rFonts w:ascii="FangSong" w:hAnsi="FangSong" w:eastAsia="FangSong" w:cs="FangSong"/>
          <w:sz w:val="25"/>
          <w:szCs w:val="25"/>
          <w:spacing w:val="-1"/>
        </w:rPr>
        <w:t>额0万元，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占政府采购支出总额的0%。其中</w:t>
      </w:r>
      <w:r>
        <w:rPr>
          <w:rFonts w:ascii="FangSong" w:hAnsi="FangSong" w:eastAsia="FangSong" w:cs="FangSong"/>
          <w:sz w:val="25"/>
          <w:szCs w:val="25"/>
          <w:spacing w:val="-2"/>
        </w:rPr>
        <w:t>：授予小微企业合同金额0万元，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占政府</w:t>
      </w:r>
      <w:r>
        <w:rPr>
          <w:rFonts w:ascii="FangSong" w:hAnsi="FangSong" w:eastAsia="FangSong" w:cs="FangSong"/>
          <w:sz w:val="25"/>
          <w:szCs w:val="25"/>
        </w:rPr>
        <w:t xml:space="preserve"> </w:t>
      </w:r>
      <w:r>
        <w:rPr>
          <w:rFonts w:ascii="FangSong" w:hAnsi="FangSong" w:eastAsia="FangSong" w:cs="FangSong"/>
          <w:sz w:val="25"/>
          <w:szCs w:val="25"/>
          <w:spacing w:val="-1"/>
        </w:rPr>
        <w:t>采购支出总额的0%。</w:t>
      </w:r>
    </w:p>
    <w:p>
      <w:pPr>
        <w:ind w:left="1221"/>
        <w:spacing w:before="41"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1"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2"/>
        </w:rPr>
        <w:t>他用车主要是</w:t>
      </w:r>
      <w:r>
        <w:rPr>
          <w:rFonts w:ascii="FangSong" w:hAnsi="FangSong" w:eastAsia="FangSong" w:cs="FangSong"/>
          <w:sz w:val="25"/>
          <w:szCs w:val="25"/>
          <w:spacing w:val="2"/>
        </w:rPr>
        <w:t xml:space="preserve"> </w:t>
      </w:r>
      <w:r>
        <w:rPr>
          <w:rFonts w:ascii="FangSong" w:hAnsi="FangSong" w:eastAsia="FangSong" w:cs="FangSong"/>
          <w:sz w:val="25"/>
          <w:szCs w:val="25"/>
          <w:spacing w:val="2"/>
        </w:rPr>
        <w:t>我单位无其他用车；单价100万</w:t>
      </w:r>
      <w:r>
        <w:rPr>
          <w:rFonts w:ascii="FangSong" w:hAnsi="FangSong" w:eastAsia="FangSong" w:cs="FangSong"/>
          <w:sz w:val="25"/>
          <w:szCs w:val="25"/>
          <w:spacing w:val="1"/>
        </w:rPr>
        <w:t>元（含）以上设备（不含车辆）0台</w:t>
      </w:r>
    </w:p>
    <w:p>
      <w:pPr>
        <w:spacing w:line="311" w:lineRule="auto"/>
        <w:sectPr>
          <w:footerReference w:type="default" r:id="rId19"/>
          <w:pgSz w:w="11900" w:h="16840"/>
          <w:pgMar w:top="610" w:right="600" w:bottom="312" w:left="600" w:header="357" w:footer="153" w:gutter="0"/>
        </w:sectPr>
        <w:rPr>
          <w:rFonts w:ascii="FangSong" w:hAnsi="FangSong" w:eastAsia="FangSong" w:cs="FangSong"/>
          <w:sz w:val="25"/>
          <w:szCs w:val="25"/>
        </w:rPr>
      </w:pPr>
    </w:p>
    <w:p>
      <w:pPr>
        <w:pStyle w:val="BodyText"/>
        <w:spacing w:line="279" w:lineRule="auto"/>
        <w:rPr/>
      </w:pPr>
      <w:r/>
    </w:p>
    <w:p>
      <w:pPr>
        <w:ind w:left="707"/>
        <w:spacing w:before="81" w:line="227" w:lineRule="auto"/>
        <w:rPr>
          <w:rFonts w:ascii="FangSong" w:hAnsi="FangSong" w:eastAsia="FangSong" w:cs="FangSong"/>
          <w:sz w:val="25"/>
          <w:szCs w:val="25"/>
        </w:rPr>
      </w:pPr>
      <w:bookmarkStart w:name="bookmark42" w:id="67"/>
      <w:bookmarkEnd w:id="67"/>
      <w:r>
        <w:rPr>
          <w:rFonts w:ascii="FangSong" w:hAnsi="FangSong" w:eastAsia="FangSong" w:cs="FangSong"/>
          <w:sz w:val="25"/>
          <w:szCs w:val="25"/>
          <w:spacing w:val="-4"/>
        </w:rPr>
        <w:t>（套）。</w:t>
      </w:r>
    </w:p>
    <w:p>
      <w:pPr>
        <w:ind w:left="1221"/>
        <w:spacing w:before="124"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717" w:right="843" w:hanging="15"/>
        <w:spacing w:before="132" w:line="304" w:lineRule="auto"/>
        <w:rPr>
          <w:rFonts w:ascii="FangSong" w:hAnsi="FangSong" w:eastAsia="FangSong" w:cs="FangSong"/>
          <w:sz w:val="25"/>
          <w:szCs w:val="25"/>
        </w:rPr>
      </w:pPr>
      <w:r>
        <w:rPr>
          <w:rFonts w:ascii="FangSong" w:hAnsi="FangSong" w:eastAsia="FangSong" w:cs="FangSong"/>
          <w:sz w:val="25"/>
          <w:szCs w:val="25"/>
        </w:rPr>
        <w:t>2023年二级项目绩效自评个数9个，涉及资金118万元：9个项目自</w:t>
      </w:r>
      <w:r>
        <w:rPr>
          <w:rFonts w:ascii="FangSong" w:hAnsi="FangSong" w:eastAsia="FangSong" w:cs="FangSong"/>
          <w:sz w:val="25"/>
          <w:szCs w:val="25"/>
          <w:spacing w:val="-1"/>
        </w:rPr>
        <w:t>评等级为“优</w:t>
      </w:r>
      <w:r>
        <w:rPr>
          <w:rFonts w:ascii="FangSong" w:hAnsi="FangSong" w:eastAsia="FangSong" w:cs="FangSong"/>
          <w:sz w:val="25"/>
          <w:szCs w:val="25"/>
          <w:spacing w:val="-89"/>
        </w:rPr>
        <w:t xml:space="preserve"> </w:t>
      </w:r>
      <w:r>
        <w:rPr>
          <w:rFonts w:ascii="FangSong" w:hAnsi="FangSong" w:eastAsia="FangSong" w:cs="FangSong"/>
          <w:sz w:val="25"/>
          <w:szCs w:val="25"/>
          <w:spacing w:val="-1"/>
        </w:rPr>
        <w:t>”。</w:t>
      </w:r>
      <w:r>
        <w:rPr>
          <w:rFonts w:ascii="FangSong" w:hAnsi="FangSong" w:eastAsia="FangSong" w:cs="FangSong"/>
          <w:sz w:val="25"/>
          <w:szCs w:val="25"/>
        </w:rPr>
        <w:t xml:space="preserve"> </w:t>
      </w:r>
      <w:r>
        <w:rPr>
          <w:rFonts w:ascii="FangSong" w:hAnsi="FangSong" w:eastAsia="FangSong" w:cs="FangSong"/>
          <w:sz w:val="25"/>
          <w:szCs w:val="25"/>
          <w:spacing w:val="-1"/>
        </w:rPr>
        <w:t>附件：二级项目绩效自评表</w:t>
      </w:r>
    </w:p>
    <w:p>
      <w:pPr>
        <w:ind w:left="709" w:right="6860" w:firstLine="496"/>
        <w:spacing w:before="39"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spacing w:val="-10"/>
        </w:rPr>
        <w:t>无。</w:t>
      </w:r>
    </w:p>
    <w:p>
      <w:pPr>
        <w:spacing w:line="306"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08" w:right="811" w:firstLine="5"/>
        <w:spacing w:before="164" w:line="287" w:lineRule="auto"/>
        <w:rPr>
          <w:rFonts w:ascii="FangSong" w:hAnsi="FangSong" w:eastAsia="FangSong" w:cs="FangSong"/>
          <w:sz w:val="25"/>
          <w:szCs w:val="25"/>
        </w:rPr>
      </w:pPr>
      <w:r>
        <w:rPr>
          <w:rFonts w:ascii="FangSong" w:hAnsi="FangSong" w:eastAsia="FangSong" w:cs="FangSong"/>
          <w:sz w:val="25"/>
          <w:szCs w:val="25"/>
          <w:spacing w:val="1"/>
        </w:rPr>
        <w:t>十三、一般公共服务支出：宣传事务行政运行，反映行政单位（包括实行公务员管</w:t>
      </w:r>
      <w:r>
        <w:rPr>
          <w:rFonts w:ascii="FangSong" w:hAnsi="FangSong" w:eastAsia="FangSong" w:cs="FangSong"/>
          <w:sz w:val="25"/>
          <w:szCs w:val="25"/>
          <w:spacing w:val="5"/>
        </w:rPr>
        <w:t xml:space="preserve">  </w:t>
      </w:r>
      <w:r>
        <w:rPr>
          <w:rFonts w:ascii="FangSong" w:hAnsi="FangSong" w:eastAsia="FangSong" w:cs="FangSong"/>
          <w:sz w:val="25"/>
          <w:szCs w:val="25"/>
          <w:spacing w:val="1"/>
        </w:rPr>
        <w:t>理的事业单位）的基本支出；宣传事务一般行政管理事务</w:t>
      </w:r>
      <w:r>
        <w:rPr>
          <w:rFonts w:ascii="FangSong" w:hAnsi="FangSong" w:eastAsia="FangSong" w:cs="FangSong"/>
          <w:sz w:val="25"/>
          <w:szCs w:val="25"/>
          <w:spacing w:val="1"/>
        </w:rPr>
        <w:t xml:space="preserve"> </w:t>
      </w:r>
      <w:r>
        <w:rPr>
          <w:rFonts w:ascii="FangSong" w:hAnsi="FangSong" w:eastAsia="FangSong" w:cs="FangSong"/>
          <w:sz w:val="25"/>
          <w:szCs w:val="25"/>
          <w:spacing w:val="1"/>
        </w:rPr>
        <w:t>反映行政单位（包括实行</w:t>
      </w:r>
      <w:r>
        <w:rPr>
          <w:rFonts w:ascii="FangSong" w:hAnsi="FangSong" w:eastAsia="FangSong" w:cs="FangSong"/>
          <w:sz w:val="25"/>
          <w:szCs w:val="25"/>
          <w:spacing w:val="16"/>
        </w:rPr>
        <w:t xml:space="preserve"> </w:t>
      </w:r>
      <w:r>
        <w:rPr>
          <w:rFonts w:ascii="FangSong" w:hAnsi="FangSong" w:eastAsia="FangSong" w:cs="FangSong"/>
          <w:sz w:val="25"/>
          <w:szCs w:val="25"/>
          <w:spacing w:val="1"/>
        </w:rPr>
        <w:t>公务员管理的事业单位）未单独设置项级科目的其他项目支出。</w:t>
      </w:r>
    </w:p>
    <w:p>
      <w:pPr>
        <w:ind w:left="713"/>
        <w:spacing w:before="132" w:line="222" w:lineRule="auto"/>
        <w:rPr>
          <w:rFonts w:ascii="FangSong" w:hAnsi="FangSong" w:eastAsia="FangSong" w:cs="FangSong"/>
          <w:sz w:val="25"/>
          <w:szCs w:val="25"/>
        </w:rPr>
      </w:pPr>
      <w:r>
        <w:rPr>
          <w:rFonts w:ascii="FangSong" w:hAnsi="FangSong" w:eastAsia="FangSong" w:cs="FangSong"/>
          <w:sz w:val="25"/>
          <w:szCs w:val="25"/>
          <w:spacing w:val="1"/>
        </w:rPr>
        <w:t>十四、文化旅游体育与传媒支出：其他文化旅游体育与传媒支出，反映除上述项目</w:t>
      </w:r>
    </w:p>
    <w:p>
      <w:pPr>
        <w:spacing w:line="222" w:lineRule="auto"/>
        <w:sectPr>
          <w:footerReference w:type="default" r:id="rId21"/>
          <w:pgSz w:w="11900" w:h="16840"/>
          <w:pgMar w:top="610" w:right="600" w:bottom="312" w:left="600" w:header="357" w:footer="153" w:gutter="0"/>
        </w:sectPr>
        <w:rPr>
          <w:rFonts w:ascii="FangSong" w:hAnsi="FangSong" w:eastAsia="FangSong" w:cs="FangSong"/>
          <w:sz w:val="25"/>
          <w:szCs w:val="25"/>
        </w:rPr>
      </w:pPr>
    </w:p>
    <w:p>
      <w:pPr>
        <w:pStyle w:val="BodyText"/>
        <w:spacing w:line="314" w:lineRule="auto"/>
        <w:rPr/>
      </w:pPr>
      <w:r/>
    </w:p>
    <w:p>
      <w:pPr>
        <w:ind w:left="732"/>
        <w:spacing w:before="82" w:line="222" w:lineRule="auto"/>
        <w:rPr>
          <w:rFonts w:ascii="FangSong" w:hAnsi="FangSong" w:eastAsia="FangSong" w:cs="FangSong"/>
          <w:sz w:val="25"/>
          <w:szCs w:val="25"/>
        </w:rPr>
      </w:pPr>
      <w:r>
        <w:rPr>
          <w:rFonts w:ascii="FangSong" w:hAnsi="FangSong" w:eastAsia="FangSong" w:cs="FangSong"/>
          <w:sz w:val="25"/>
          <w:szCs w:val="25"/>
          <w:spacing w:val="-1"/>
        </w:rPr>
        <w:t>以外其他用于文化旅游体育与传媒方面的支出。</w:t>
      </w:r>
    </w:p>
    <w:p>
      <w:pPr>
        <w:ind w:left="708" w:right="937" w:firstLine="5"/>
        <w:spacing w:before="129" w:line="287" w:lineRule="auto"/>
        <w:rPr>
          <w:rFonts w:ascii="FangSong" w:hAnsi="FangSong" w:eastAsia="FangSong" w:cs="FangSong"/>
          <w:sz w:val="25"/>
          <w:szCs w:val="25"/>
        </w:rPr>
      </w:pPr>
      <w:r>
        <w:rPr>
          <w:rFonts w:ascii="FangSong" w:hAnsi="FangSong" w:eastAsia="FangSong" w:cs="FangSong"/>
          <w:sz w:val="25"/>
          <w:szCs w:val="25"/>
          <w:spacing w:val="1"/>
        </w:rPr>
        <w:t>十五、社会保障和就业支出：机关事业单位基本养老保险缴费支出，反映机关事业</w:t>
      </w:r>
      <w:r>
        <w:rPr>
          <w:rFonts w:ascii="FangSong" w:hAnsi="FangSong" w:eastAsia="FangSong" w:cs="FangSong"/>
          <w:sz w:val="25"/>
          <w:szCs w:val="25"/>
          <w:spacing w:val="11"/>
        </w:rPr>
        <w:t xml:space="preserve"> </w:t>
      </w:r>
      <w:r>
        <w:rPr>
          <w:rFonts w:ascii="FangSong" w:hAnsi="FangSong" w:eastAsia="FangSong" w:cs="FangSong"/>
          <w:sz w:val="25"/>
          <w:szCs w:val="25"/>
          <w:spacing w:val="1"/>
        </w:rPr>
        <w:t>单位实施养老保险制度由单位缴纳的基本养老保险费支出：行政单位离退休，反映</w:t>
      </w:r>
      <w:r>
        <w:rPr>
          <w:rFonts w:ascii="FangSong" w:hAnsi="FangSong" w:eastAsia="FangSong" w:cs="FangSong"/>
          <w:sz w:val="25"/>
          <w:szCs w:val="25"/>
          <w:spacing w:val="16"/>
        </w:rPr>
        <w:t xml:space="preserve"> </w:t>
      </w:r>
      <w:r>
        <w:rPr>
          <w:rFonts w:ascii="FangSong" w:hAnsi="FangSong" w:eastAsia="FangSong" w:cs="FangSong"/>
          <w:sz w:val="25"/>
          <w:szCs w:val="25"/>
          <w:spacing w:val="1"/>
        </w:rPr>
        <w:t>行政单位（包括实行公务员管理的事业单位）开支的离退休经费。</w:t>
      </w:r>
    </w:p>
    <w:p>
      <w:pPr>
        <w:ind w:left="709" w:right="976" w:firstLine="4"/>
        <w:spacing w:before="132" w:line="271" w:lineRule="auto"/>
        <w:rPr>
          <w:rFonts w:ascii="FangSong" w:hAnsi="FangSong" w:eastAsia="FangSong" w:cs="FangSong"/>
          <w:sz w:val="25"/>
          <w:szCs w:val="25"/>
        </w:rPr>
      </w:pPr>
      <w:r>
        <w:rPr>
          <w:rFonts w:ascii="FangSong" w:hAnsi="FangSong" w:eastAsia="FangSong" w:cs="FangSong"/>
          <w:sz w:val="25"/>
          <w:szCs w:val="25"/>
        </w:rPr>
        <w:t>十六、住房保障支出：住房公积金，反映行政事业单位按人力资源和社会保障部、</w:t>
      </w:r>
      <w:r>
        <w:rPr>
          <w:rFonts w:ascii="FangSong" w:hAnsi="FangSong" w:eastAsia="FangSong" w:cs="FangSong"/>
          <w:sz w:val="25"/>
          <w:szCs w:val="25"/>
          <w:spacing w:val="8"/>
        </w:rPr>
        <w:t xml:space="preserve"> </w:t>
      </w:r>
      <w:r>
        <w:rPr>
          <w:rFonts w:ascii="FangSong" w:hAnsi="FangSong" w:eastAsia="FangSong" w:cs="FangSong"/>
          <w:sz w:val="25"/>
          <w:szCs w:val="25"/>
          <w:spacing w:val="1"/>
        </w:rPr>
        <w:t>财政部规定的基本工资和津贴补贴以及规定比例为职工缴纳的住房公积金。</w:t>
      </w:r>
    </w:p>
    <w:p>
      <w:pPr>
        <w:ind w:left="750" w:right="1189" w:hanging="37"/>
        <w:spacing w:before="130" w:line="273" w:lineRule="auto"/>
        <w:rPr>
          <w:rFonts w:ascii="FangSong" w:hAnsi="FangSong" w:eastAsia="FangSong" w:cs="FangSong"/>
          <w:sz w:val="25"/>
          <w:szCs w:val="25"/>
        </w:rPr>
      </w:pPr>
      <w:r>
        <w:rPr>
          <w:rFonts w:ascii="FangSong" w:hAnsi="FangSong" w:eastAsia="FangSong" w:cs="FangSong"/>
          <w:sz w:val="25"/>
          <w:szCs w:val="25"/>
          <w:spacing w:val="1"/>
        </w:rPr>
        <w:t>十七、其他支出：反映除上述项目以外其他不能划分到具体功能科目中的支出项</w:t>
      </w:r>
      <w:r>
        <w:rPr>
          <w:rFonts w:ascii="FangSong" w:hAnsi="FangSong" w:eastAsia="FangSong" w:cs="FangSong"/>
          <w:sz w:val="25"/>
          <w:szCs w:val="25"/>
          <w:spacing w:val="10"/>
        </w:rPr>
        <w:t xml:space="preserve"> </w:t>
      </w:r>
      <w:r>
        <w:rPr>
          <w:rFonts w:ascii="FangSong" w:hAnsi="FangSong" w:eastAsia="FangSong" w:cs="FangSong"/>
          <w:sz w:val="25"/>
          <w:szCs w:val="25"/>
          <w:spacing w:val="-31"/>
        </w:rPr>
        <w:t>目。</w:t>
      </w:r>
    </w:p>
    <w:p>
      <w:pPr>
        <w:ind w:left="4529"/>
        <w:spacing w:before="160"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2"/>
          <w:pgSz w:w="11900" w:h="16840"/>
          <w:pgMar w:top="610" w:right="600" w:bottom="312" w:left="600" w:header="357" w:footer="153" w:gutter="0"/>
        </w:sectPr>
        <w:rPr>
          <w:rFonts w:ascii="SimHei" w:hAnsi="SimHei" w:eastAsia="SimHei" w:cs="SimHei"/>
          <w:sz w:val="25"/>
          <w:szCs w:val="25"/>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2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2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6" name="IM 6"/>
            <wp:cNvGraphicFramePr/>
            <a:graphic>
              <a:graphicData uri="http://schemas.openxmlformats.org/drawingml/2006/picture">
                <pic:pic>
                  <pic:nvPicPr>
                    <pic:cNvPr id="6" name="IM 6"/>
                    <pic:cNvPicPr/>
                  </pic:nvPicPr>
                  <pic:blipFill>
                    <a:blip r:embed="rId2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8" name="IM 8"/>
            <wp:cNvGraphicFramePr/>
            <a:graphic>
              <a:graphicData uri="http://schemas.openxmlformats.org/drawingml/2006/picture">
                <pic:pic>
                  <pic:nvPicPr>
                    <pic:cNvPr id="8" name="IM 8"/>
                    <pic:cNvPicPr/>
                  </pic:nvPicPr>
                  <pic:blipFill>
                    <a:blip r:embed="rId3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0" name="IM 10"/>
            <wp:cNvGraphicFramePr/>
            <a:graphic>
              <a:graphicData uri="http://schemas.openxmlformats.org/drawingml/2006/picture">
                <pic:pic>
                  <pic:nvPicPr>
                    <pic:cNvPr id="10" name="IM 10"/>
                    <pic:cNvPicPr/>
                  </pic:nvPicPr>
                  <pic:blipFill>
                    <a:blip r:embed="rId3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2" name="IM 12"/>
            <wp:cNvGraphicFramePr/>
            <a:graphic>
              <a:graphicData uri="http://schemas.openxmlformats.org/drawingml/2006/picture">
                <pic:pic>
                  <pic:nvPicPr>
                    <pic:cNvPr id="12" name="IM 12"/>
                    <pic:cNvPicPr/>
                  </pic:nvPicPr>
                  <pic:blipFill>
                    <a:blip r:embed="rId3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4" name="IM 14"/>
            <wp:cNvGraphicFramePr/>
            <a:graphic>
              <a:graphicData uri="http://schemas.openxmlformats.org/drawingml/2006/picture">
                <pic:pic>
                  <pic:nvPicPr>
                    <pic:cNvPr id="14" name="IM 14"/>
                    <pic:cNvPicPr/>
                  </pic:nvPicPr>
                  <pic:blipFill>
                    <a:blip r:embed="rId3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6" name="IM 16"/>
            <wp:cNvGraphicFramePr/>
            <a:graphic>
              <a:graphicData uri="http://schemas.openxmlformats.org/drawingml/2006/picture">
                <pic:pic>
                  <pic:nvPicPr>
                    <pic:cNvPr id="16" name="IM 16"/>
                    <pic:cNvPicPr/>
                  </pic:nvPicPr>
                  <pic:blipFill>
                    <a:blip r:embed="rId38"/>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7"/>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18" name="IM 18"/>
            <wp:cNvGraphicFramePr/>
            <a:graphic>
              <a:graphicData uri="http://schemas.openxmlformats.org/drawingml/2006/picture">
                <pic:pic>
                  <pic:nvPicPr>
                    <pic:cNvPr id="18" name="IM 18"/>
                    <pic:cNvPicPr/>
                  </pic:nvPicPr>
                  <pic:blipFill>
                    <a:blip r:embed="rId40"/>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39"/>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0" name="IM 20"/>
            <wp:cNvGraphicFramePr/>
            <a:graphic>
              <a:graphicData uri="http://schemas.openxmlformats.org/drawingml/2006/picture">
                <pic:pic>
                  <pic:nvPicPr>
                    <pic:cNvPr id="20" name="IM 20"/>
                    <pic:cNvPicPr/>
                  </pic:nvPicPr>
                  <pic:blipFill>
                    <a:blip r:embed="rId42"/>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1"/>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2" name="IM 22"/>
            <wp:cNvGraphicFramePr/>
            <a:graphic>
              <a:graphicData uri="http://schemas.openxmlformats.org/drawingml/2006/picture">
                <pic:pic>
                  <pic:nvPicPr>
                    <pic:cNvPr id="22" name="IM 22"/>
                    <pic:cNvPicPr/>
                  </pic:nvPicPr>
                  <pic:blipFill>
                    <a:blip r:embed="rId4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4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4" name="IM 24"/>
            <wp:cNvGraphicFramePr/>
            <a:graphic>
              <a:graphicData uri="http://schemas.openxmlformats.org/drawingml/2006/picture">
                <pic:pic>
                  <pic:nvPicPr>
                    <pic:cNvPr id="24" name="IM 24"/>
                    <pic:cNvPicPr/>
                  </pic:nvPicPr>
                  <pic:blipFill>
                    <a:blip r:embed="rId46"/>
                    <a:stretch>
                      <a:fillRect/>
                    </a:stretch>
                  </pic:blipFill>
                  <pic:spPr>
                    <a:xfrm rot="0">
                      <a:off x="0" y="0"/>
                      <a:ext cx="6097700" cy="8544402"/>
                    </a:xfrm>
                    <a:prstGeom prst="rect">
                      <a:avLst/>
                    </a:prstGeom>
                  </pic:spPr>
                </pic:pic>
              </a:graphicData>
            </a:graphic>
          </wp:inline>
        </w:drawing>
      </w:r>
    </w:p>
    <w:sectPr>
      <w:footerReference w:type="default" r:id="rId45"/>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1"/>
      <w:spacing w:before="1" w:line="210" w:lineRule="exact"/>
      <w:rPr>
        <w:rFonts w:ascii="SimSun" w:hAnsi="SimSun" w:eastAsia="SimSun" w:cs="SimSun"/>
        <w:sz w:val="16"/>
        <w:szCs w:val="16"/>
      </w:rPr>
    </w:pPr>
    <w:r>
      <w:rPr>
        <w:rFonts w:ascii="SimSun" w:hAnsi="SimSun" w:eastAsia="SimSun" w:cs="SimSun"/>
        <w:sz w:val="16"/>
        <w:szCs w:val="16"/>
        <w:spacing w:val="-2"/>
        <w:position w:val="1"/>
      </w:rPr>
      <w:t>中国共产党古县委员会宣传部2023年单位决算公开报告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1"/>
      <w:spacing w:before="1" w:line="210" w:lineRule="exact"/>
      <w:rPr>
        <w:rFonts w:ascii="SimSun" w:hAnsi="SimSun" w:eastAsia="SimSun" w:cs="SimSun"/>
        <w:sz w:val="16"/>
        <w:szCs w:val="16"/>
      </w:rPr>
    </w:pPr>
    <w:r>
      <w:rPr>
        <w:rFonts w:ascii="SimSun" w:hAnsi="SimSun" w:eastAsia="SimSun" w:cs="SimSun"/>
        <w:sz w:val="16"/>
        <w:szCs w:val="16"/>
        <w:spacing w:val="-2"/>
        <w:position w:val="1"/>
      </w:rPr>
      <w:t>中国共产党古县委员会宣传部2023年单位决算公开报告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footer" Target="footer5.xml"/><Relationship Id="rId5" Type="http://schemas.openxmlformats.org/officeDocument/2006/relationships/footer" Target="footer4.xml"/><Relationship Id="rId49" Type="http://schemas.openxmlformats.org/officeDocument/2006/relationships/fontTable" Target="fontTable.xml"/><Relationship Id="rId48" Type="http://schemas.openxmlformats.org/officeDocument/2006/relationships/styles" Target="styles.xml"/><Relationship Id="rId47" Type="http://schemas.openxmlformats.org/officeDocument/2006/relationships/settings" Target="settings.xml"/><Relationship Id="rId46" Type="http://schemas.openxmlformats.org/officeDocument/2006/relationships/image" Target="media/image12.jpeg"/><Relationship Id="rId45" Type="http://schemas.openxmlformats.org/officeDocument/2006/relationships/footer" Target="footer32.xml"/><Relationship Id="rId44" Type="http://schemas.openxmlformats.org/officeDocument/2006/relationships/image" Target="media/image11.jpeg"/><Relationship Id="rId43" Type="http://schemas.openxmlformats.org/officeDocument/2006/relationships/footer" Target="footer31.xml"/><Relationship Id="rId42" Type="http://schemas.openxmlformats.org/officeDocument/2006/relationships/image" Target="media/image10.jpeg"/><Relationship Id="rId41" Type="http://schemas.openxmlformats.org/officeDocument/2006/relationships/footer" Target="footer30.xml"/><Relationship Id="rId40" Type="http://schemas.openxmlformats.org/officeDocument/2006/relationships/image" Target="media/image9.jpeg"/><Relationship Id="rId4" Type="http://schemas.openxmlformats.org/officeDocument/2006/relationships/footer" Target="footer3.xml"/><Relationship Id="rId39" Type="http://schemas.openxmlformats.org/officeDocument/2006/relationships/footer" Target="footer29.xml"/><Relationship Id="rId38" Type="http://schemas.openxmlformats.org/officeDocument/2006/relationships/image" Target="media/image8.jpeg"/><Relationship Id="rId37" Type="http://schemas.openxmlformats.org/officeDocument/2006/relationships/footer" Target="footer28.xml"/><Relationship Id="rId36" Type="http://schemas.openxmlformats.org/officeDocument/2006/relationships/image" Target="media/image7.jpeg"/><Relationship Id="rId35" Type="http://schemas.openxmlformats.org/officeDocument/2006/relationships/footer" Target="footer27.xml"/><Relationship Id="rId34" Type="http://schemas.openxmlformats.org/officeDocument/2006/relationships/image" Target="media/image6.jpeg"/><Relationship Id="rId33" Type="http://schemas.openxmlformats.org/officeDocument/2006/relationships/footer" Target="footer26.xml"/><Relationship Id="rId32" Type="http://schemas.openxmlformats.org/officeDocument/2006/relationships/image" Target="media/image5.jpeg"/><Relationship Id="rId31" Type="http://schemas.openxmlformats.org/officeDocument/2006/relationships/footer" Target="footer25.xml"/><Relationship Id="rId30" Type="http://schemas.openxmlformats.org/officeDocument/2006/relationships/image" Target="media/image4.jpeg"/><Relationship Id="rId3" Type="http://schemas.openxmlformats.org/officeDocument/2006/relationships/footer" Target="footer2.xml"/><Relationship Id="rId29" Type="http://schemas.openxmlformats.org/officeDocument/2006/relationships/footer" Target="footer24.xml"/><Relationship Id="rId28" Type="http://schemas.openxmlformats.org/officeDocument/2006/relationships/image" Target="media/image3.jpeg"/><Relationship Id="rId27" Type="http://schemas.openxmlformats.org/officeDocument/2006/relationships/footer" Target="footer23.xml"/><Relationship Id="rId26" Type="http://schemas.openxmlformats.org/officeDocument/2006/relationships/image" Target="media/image2.jpeg"/><Relationship Id="rId25" Type="http://schemas.openxmlformats.org/officeDocument/2006/relationships/footer" Target="footer22.xml"/><Relationship Id="rId24" Type="http://schemas.openxmlformats.org/officeDocument/2006/relationships/image" Target="media/image1.jpeg"/><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2024-09-02T16:22:55Z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2024-09-20T10:36:48</vt:filetime>
  </property>
</Properties>
</file>