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pPr>
    </w:p>
    <w:p>
      <w:pPr>
        <w:ind w:firstLine="0" w:firstLineChars="0"/>
      </w:pPr>
      <w:r>
        <mc:AlternateContent>
          <mc:Choice Requires="wps">
            <w:drawing>
              <wp:anchor distT="0" distB="0" distL="114300" distR="114300" simplePos="0" relativeHeight="251659264" behindDoc="0" locked="0" layoutInCell="1" allowOverlap="1">
                <wp:simplePos x="0" y="0"/>
                <wp:positionH relativeFrom="column">
                  <wp:posOffset>3958590</wp:posOffset>
                </wp:positionH>
                <wp:positionV relativeFrom="paragraph">
                  <wp:posOffset>32385</wp:posOffset>
                </wp:positionV>
                <wp:extent cx="1324610" cy="882650"/>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324610" cy="882650"/>
                        </a:xfrm>
                        <a:prstGeom prst="rect">
                          <a:avLst/>
                        </a:prstGeom>
                        <a:noFill/>
                        <a:ln>
                          <a:noFill/>
                        </a:ln>
                        <a:effectLst/>
                      </wps:spPr>
                      <wps:txbx>
                        <w:txbxContent>
                          <w:p>
                            <w:pPr>
                              <w:ind w:firstLine="0" w:firstLineChars="0"/>
                              <w:rPr>
                                <w:b/>
                                <w:sz w:val="96"/>
                                <w:szCs w:val="96"/>
                              </w:rPr>
                            </w:pPr>
                            <w:r>
                              <w:rPr>
                                <w:rFonts w:hint="eastAsia"/>
                                <w:b/>
                                <w:sz w:val="96"/>
                                <w:szCs w:val="96"/>
                                <w:lang w:val="en-US" w:eastAsia="zh-CN"/>
                              </w:rPr>
                              <w:t>DBBBBBBBBBBbbbbbb</w:t>
                            </w:r>
                            <w:r>
                              <w:rPr>
                                <w:b/>
                                <w:sz w:val="96"/>
                                <w:szCs w:val="96"/>
                              </w:rPr>
                              <w:t>B</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311.7pt;margin-top:2.55pt;height:69.5pt;width:104.3pt;z-index:251659264;mso-width-relative:page;mso-height-relative:page;" filled="f" stroked="f" coordsize="21600,21600" o:gfxdata="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ZaJ0itcAAAAJ&#10;AQAADwAAAAAAAAABACAAAAA4AAAAZHJzL2Rvd25yZXYueG1sUEsBAhQAFAAAAAgAh07iQEUbf5QH&#10;AgAA4gMAAA4AAAAAAAAAAQAgAAAAPAEAAGRycy9lMm9Eb2MueG1sUEsFBgAAAAAGAAYAWQEAALUF&#10;AAAAAA==&#10;">
                <v:fill on="f" focussize="0,0"/>
                <v:stroke on="f"/>
                <v:imagedata o:title=""/>
                <o:lock v:ext="edit" aspectratio="f"/>
                <v:textbox>
                  <w:txbxContent>
                    <w:p>
                      <w:pPr>
                        <w:ind w:firstLine="0" w:firstLineChars="0"/>
                        <w:rPr>
                          <w:b/>
                          <w:sz w:val="96"/>
                          <w:szCs w:val="96"/>
                        </w:rPr>
                      </w:pPr>
                      <w:r>
                        <w:rPr>
                          <w:rFonts w:hint="eastAsia"/>
                          <w:b/>
                          <w:sz w:val="96"/>
                          <w:szCs w:val="96"/>
                          <w:lang w:val="en-US" w:eastAsia="zh-CN"/>
                        </w:rPr>
                        <w:t>DBBBBBBBBBBbbbbbb</w:t>
                      </w:r>
                      <w:r>
                        <w:rPr>
                          <w:b/>
                          <w:sz w:val="96"/>
                          <w:szCs w:val="96"/>
                        </w:rPr>
                        <w:t>B</w:t>
                      </w:r>
                    </w:p>
                  </w:txbxContent>
                </v:textbox>
              </v:shape>
            </w:pict>
          </mc:Fallback>
        </mc:AlternateContent>
      </w:r>
    </w:p>
    <w:p>
      <w:pPr>
        <w:ind w:firstLine="0" w:firstLineChars="0"/>
        <w:rPr>
          <w:rFonts w:ascii="黑体" w:hAnsi="黑体" w:eastAsia="黑体" w:cs="黑体"/>
          <w:sz w:val="44"/>
          <w:szCs w:val="44"/>
        </w:rPr>
      </w:pPr>
      <w:r>
        <w:rPr>
          <w:rFonts w:hint="eastAsia" w:ascii="黑体" w:hAnsi="黑体" w:eastAsia="黑体" w:cs="黑体"/>
          <w:sz w:val="44"/>
          <w:szCs w:val="44"/>
        </w:rPr>
        <w:t>山西省工程建设地方标准</w:t>
      </w:r>
    </w:p>
    <w:p>
      <w:pPr>
        <w:ind w:firstLine="0" w:firstLineChars="0"/>
      </w:pPr>
    </w:p>
    <w:p>
      <w:pPr>
        <w:ind w:firstLine="0" w:firstLineChars="0"/>
        <w:jc w:val="right"/>
        <w:rPr>
          <w:rFonts w:hint="eastAsia" w:ascii="黑体" w:hAnsi="黑体" w:eastAsia="黑体" w:cs="黑体"/>
          <w:sz w:val="28"/>
          <w:szCs w:val="28"/>
          <w:lang w:eastAsia="zh-CN"/>
        </w:rPr>
      </w:pPr>
      <w:r>
        <w:rPr>
          <w:rFonts w:hint="eastAsia" w:ascii="黑体" w:hAnsi="黑体" w:eastAsia="黑体" w:cs="黑体"/>
          <w:sz w:val="28"/>
          <w:szCs w:val="28"/>
        </w:rPr>
        <w:t>DBJ04/T-XXX-202</w:t>
      </w:r>
      <w:r>
        <w:rPr>
          <w:rFonts w:hint="eastAsia" w:ascii="黑体" w:hAnsi="黑体" w:eastAsia="黑体" w:cs="黑体"/>
          <w:sz w:val="28"/>
          <w:szCs w:val="28"/>
          <w:lang w:val="en-US" w:eastAsia="zh-CN"/>
        </w:rPr>
        <w:t>4</w:t>
      </w:r>
    </w:p>
    <w:p>
      <w:pPr>
        <w:ind w:firstLine="0" w:firstLineChars="0"/>
        <w:jc w:val="right"/>
        <w:rPr>
          <w:rFonts w:ascii="黑体" w:hAnsi="黑体" w:eastAsia="黑体" w:cs="黑体"/>
          <w:sz w:val="28"/>
          <w:szCs w:val="28"/>
        </w:rPr>
      </w:pPr>
      <w:r>
        <w:rPr>
          <w:rFonts w:hint="eastAsia" w:ascii="黑体" w:hAnsi="黑体" w:eastAsia="黑体" w:cs="黑体"/>
          <w:sz w:val="28"/>
          <w:szCs w:val="28"/>
        </w:rPr>
        <w:t>备案号：J00000-2024</w:t>
      </w:r>
    </w:p>
    <w:p>
      <w:pPr>
        <w:ind w:firstLine="0" w:firstLineChars="0"/>
      </w:pPr>
      <w: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49530</wp:posOffset>
                </wp:positionV>
                <wp:extent cx="5514340" cy="0"/>
                <wp:effectExtent l="0" t="4445" r="0" b="5080"/>
                <wp:wrapNone/>
                <wp:docPr id="4" name="直接连接符 4"/>
                <wp:cNvGraphicFramePr/>
                <a:graphic xmlns:a="http://schemas.openxmlformats.org/drawingml/2006/main">
                  <a:graphicData uri="http://schemas.microsoft.com/office/word/2010/wordprocessingShape">
                    <wps:wsp>
                      <wps:cNvCnPr>
                        <a:cxnSpLocks noChangeShapeType="true"/>
                      </wps:cNvCnPr>
                      <wps:spPr bwMode="auto">
                        <a:xfrm>
                          <a:off x="0" y="0"/>
                          <a:ext cx="55143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pt;margin-top:3.9pt;height:0pt;width:434.2pt;z-index:251660288;mso-width-relative:page;mso-height-relative:page;" filled="f" stroked="t" coordsize="21600,21600" o:gfxdata="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Cj3bZx1AAAAAYB&#10;AAAPAAAAAAAAAAEAIAAAADgAAABkcnMvZG93bnJldi54bWxQSwECFAAUAAAACACHTuJATlzgadAB&#10;AABtAwAADgAAAAAAAAABACAAAAA5AQAAZHJzL2Uyb0RvYy54bWxQSwUGAAAAAAYABgBZAQAAewUA&#10;AAAA&#10;">
                <v:fill on="f" focussize="0,0"/>
                <v:stroke color="#000000" joinstyle="round"/>
                <v:imagedata o:title=""/>
                <o:lock v:ext="edit" aspectratio="f"/>
              </v:line>
            </w:pict>
          </mc:Fallback>
        </mc:AlternateContent>
      </w:r>
    </w:p>
    <w:p>
      <w:pPr>
        <w:ind w:firstLine="0" w:firstLineChars="0"/>
        <w:jc w:val="center"/>
        <w:rPr>
          <w:rFonts w:ascii="黑体" w:hAnsi="黑体" w:eastAsia="黑体" w:cs="黑体"/>
          <w:sz w:val="52"/>
          <w:szCs w:val="52"/>
        </w:rPr>
      </w:pPr>
      <w:r>
        <w:rPr>
          <w:rFonts w:hint="eastAsia" w:ascii="黑体" w:hAnsi="黑体" w:eastAsia="黑体" w:cs="黑体"/>
          <w:sz w:val="52"/>
          <w:szCs w:val="52"/>
        </w:rPr>
        <w:t>海绵城市建设项目评价标准</w:t>
      </w:r>
    </w:p>
    <w:p>
      <w:pPr>
        <w:ind w:firstLine="0" w:firstLineChars="0"/>
        <w:jc w:val="center"/>
        <w:rPr>
          <w:rFonts w:ascii="黑体" w:hAnsi="黑体" w:eastAsia="黑体" w:cs="黑体"/>
          <w:sz w:val="28"/>
          <w:szCs w:val="28"/>
        </w:rPr>
      </w:pPr>
      <w:r>
        <w:rPr>
          <w:rFonts w:hint="eastAsia" w:ascii="黑体" w:hAnsi="黑体" w:eastAsia="黑体" w:cs="黑体"/>
          <w:sz w:val="28"/>
          <w:szCs w:val="28"/>
        </w:rPr>
        <w:t>Evaluation criteria for sponge</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city construction projects</w:t>
      </w:r>
    </w:p>
    <w:p>
      <w:pPr>
        <w:ind w:firstLine="0" w:firstLineChars="0"/>
        <w:jc w:val="center"/>
        <w:rPr>
          <w:rFonts w:ascii="黑体" w:hAnsi="黑体" w:eastAsia="黑体" w:cs="黑体"/>
          <w:sz w:val="28"/>
          <w:szCs w:val="28"/>
        </w:rPr>
      </w:pPr>
      <w:r>
        <w:rPr>
          <w:rFonts w:hint="eastAsia" w:ascii="黑体" w:hAnsi="黑体" w:eastAsia="黑体" w:cs="黑体"/>
          <w:sz w:val="28"/>
          <w:szCs w:val="28"/>
        </w:rPr>
        <w:t>（征求意见稿）</w:t>
      </w: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
    <w:p>
      <w:pPr>
        <w:ind w:firstLine="0" w:firstLineChars="0"/>
      </w:pPr>
    </w:p>
    <w:p>
      <w:pPr>
        <w:ind w:firstLine="0" w:firstLineChars="0"/>
      </w:pPr>
    </w:p>
    <w:p>
      <w:pPr>
        <w:ind w:firstLine="0" w:firstLineChars="0"/>
        <w:jc w:val="center"/>
        <w:rPr>
          <w:rFonts w:ascii="黑体" w:hAnsi="黑体" w:eastAsia="黑体" w:cs="黑体"/>
          <w:sz w:val="28"/>
          <w:szCs w:val="28"/>
        </w:rPr>
      </w:pPr>
      <w:r>
        <w:rPr>
          <w:rFonts w:hint="eastAsia" w:ascii="黑体" w:hAnsi="黑体" w:eastAsia="黑体" w:cs="黑体"/>
          <w:sz w:val="28"/>
          <w:szCs w:val="28"/>
        </w:rPr>
        <w:t>2024－XX－XX发布                       2024－XX－XX实施</w:t>
      </w:r>
    </w:p>
    <w:p>
      <w:pPr>
        <w:ind w:firstLine="0" w:firstLineChars="0"/>
      </w:pPr>
      <w:r>
        <mc:AlternateContent>
          <mc:Choice Requires="wps">
            <w:drawing>
              <wp:anchor distT="0" distB="0" distL="114300" distR="114300" simplePos="0" relativeHeight="251660288" behindDoc="0" locked="0" layoutInCell="1" allowOverlap="1">
                <wp:simplePos x="0" y="0"/>
                <wp:positionH relativeFrom="column">
                  <wp:posOffset>-66040</wp:posOffset>
                </wp:positionH>
                <wp:positionV relativeFrom="paragraph">
                  <wp:posOffset>24765</wp:posOffset>
                </wp:positionV>
                <wp:extent cx="5514340" cy="0"/>
                <wp:effectExtent l="0" t="4445" r="0" b="5080"/>
                <wp:wrapNone/>
                <wp:docPr id="6" name="直接连接符 6"/>
                <wp:cNvGraphicFramePr/>
                <a:graphic xmlns:a="http://schemas.openxmlformats.org/drawingml/2006/main">
                  <a:graphicData uri="http://schemas.microsoft.com/office/word/2010/wordprocessingShape">
                    <wps:wsp>
                      <wps:cNvCnPr>
                        <a:cxnSpLocks noChangeShapeType="true"/>
                      </wps:cNvCnPr>
                      <wps:spPr bwMode="auto">
                        <a:xfrm>
                          <a:off x="0" y="0"/>
                          <a:ext cx="55143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5.2pt;margin-top:1.95pt;height:0pt;width:434.2pt;z-index:251660288;mso-width-relative:page;mso-height-relative:page;" filled="f" stroked="t" coordsize="21600,21600" o:gfxdata="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GEJ/09UAAAAH&#10;AQAADwAAAAAAAAABACAAAAA4AAAAZHJzL2Rvd25yZXYueG1sUEsBAhQAFAAAAAgAh07iQFuZbV3Q&#10;AQAAbQMAAA4AAAAAAAAAAQAgAAAAOgEAAGRycy9lMm9Eb2MueG1sUEsFBgAAAAAGAAYAWQEAAHwF&#10;AAAAAA==&#10;">
                <v:fill on="f" focussize="0,0"/>
                <v:stroke color="#000000" joinstyle="round"/>
                <v:imagedata o:title=""/>
                <o:lock v:ext="edit" aspectratio="f"/>
              </v:line>
            </w:pict>
          </mc:Fallback>
        </mc:AlternateContent>
      </w:r>
    </w:p>
    <w:p>
      <w:pPr>
        <w:ind w:firstLine="0" w:firstLineChars="0"/>
        <w:jc w:val="center"/>
        <w:rPr>
          <w:b/>
          <w:bCs/>
          <w:sz w:val="32"/>
          <w:szCs w:val="32"/>
        </w:rPr>
      </w:pPr>
      <w:r>
        <w:rPr>
          <w:rFonts w:hint="eastAsia"/>
          <w:b/>
          <w:bCs/>
          <w:sz w:val="32"/>
          <w:szCs w:val="32"/>
        </w:rPr>
        <w:t>山西省住房和城乡建设厅</w:t>
      </w:r>
      <w:r>
        <w:rPr>
          <w:b/>
          <w:bCs/>
          <w:sz w:val="32"/>
          <w:szCs w:val="32"/>
        </w:rPr>
        <w:t>发布</w:t>
      </w:r>
    </w:p>
    <w:p>
      <w:pPr>
        <w:ind w:firstLine="0" w:firstLineChars="0"/>
      </w:pPr>
    </w:p>
    <w:p>
      <w:r>
        <w:br w:type="page"/>
      </w:r>
    </w:p>
    <w:p>
      <w:pPr>
        <w:pStyle w:val="2"/>
      </w:pPr>
      <w:bookmarkStart w:id="0" w:name="_Toc27428"/>
      <w:bookmarkStart w:id="1" w:name="_Toc8448"/>
      <w:bookmarkStart w:id="2" w:name="_Toc25801"/>
      <w:bookmarkStart w:id="3" w:name="_Toc10329"/>
      <w:bookmarkStart w:id="4" w:name="_Toc10295"/>
      <w:bookmarkStart w:id="5" w:name="_Toc18231"/>
      <w:r>
        <w:rPr>
          <w:rFonts w:hint="eastAsia"/>
        </w:rPr>
        <w:t>前 言</w:t>
      </w:r>
      <w:bookmarkEnd w:id="0"/>
      <w:bookmarkEnd w:id="1"/>
      <w:bookmarkEnd w:id="2"/>
      <w:bookmarkEnd w:id="3"/>
      <w:bookmarkEnd w:id="4"/>
      <w:bookmarkEnd w:id="5"/>
    </w:p>
    <w:p>
      <w:pPr>
        <w:bidi w:val="0"/>
      </w:pPr>
      <w:r>
        <w:rPr>
          <w:rFonts w:hint="eastAsia"/>
        </w:rPr>
        <w:t>根据《山西省住房和城乡建设厅关于印发202</w:t>
      </w:r>
      <w:r>
        <w:rPr>
          <w:rFonts w:hint="eastAsia"/>
          <w:lang w:val="en-US" w:eastAsia="zh-CN"/>
        </w:rPr>
        <w:t>3</w:t>
      </w:r>
      <w:r>
        <w:rPr>
          <w:rFonts w:hint="eastAsia"/>
        </w:rPr>
        <w:t>年工程建设地方标准制（修）订计划的通知》（晋建科字〔202</w:t>
      </w:r>
      <w:r>
        <w:rPr>
          <w:rFonts w:hint="eastAsia"/>
          <w:lang w:val="en-US" w:eastAsia="zh-CN"/>
        </w:rPr>
        <w:t>3</w:t>
      </w:r>
      <w:r>
        <w:rPr>
          <w:rFonts w:hint="eastAsia"/>
        </w:rPr>
        <w:t>〕</w:t>
      </w:r>
      <w:r>
        <w:rPr>
          <w:rFonts w:hint="eastAsia"/>
          <w:lang w:val="en-US" w:eastAsia="zh-CN"/>
        </w:rPr>
        <w:t>87</w:t>
      </w:r>
      <w:r>
        <w:rPr>
          <w:rFonts w:hint="eastAsia"/>
        </w:rPr>
        <w:t>号），标准编制组经</w:t>
      </w:r>
      <w:r>
        <w:rPr>
          <w:rFonts w:hint="eastAsia"/>
          <w:lang w:eastAsia="zh-CN"/>
        </w:rPr>
        <w:t>深入</w:t>
      </w:r>
      <w:r>
        <w:rPr>
          <w:rFonts w:hint="eastAsia"/>
        </w:rPr>
        <w:t>调查研究、认真总结实践经验，依照国家现行有关标准，并在广泛征求意见的基础上，制定本标准。</w:t>
      </w:r>
    </w:p>
    <w:p>
      <w:pPr>
        <w:bidi w:val="0"/>
        <w:rPr>
          <w:rFonts w:hint="eastAsia"/>
        </w:rPr>
      </w:pPr>
      <w:r>
        <w:rPr>
          <w:rFonts w:hint="eastAsia"/>
        </w:rPr>
        <w:t>本标准主要技术内容包括：1</w:t>
      </w:r>
      <w:r>
        <w:rPr>
          <w:rFonts w:hint="eastAsia"/>
          <w:lang w:val="en-US" w:eastAsia="zh-CN"/>
        </w:rPr>
        <w:t>.</w:t>
      </w:r>
      <w:r>
        <w:rPr>
          <w:rFonts w:hint="eastAsia"/>
        </w:rPr>
        <w:t>总则；2</w:t>
      </w:r>
      <w:r>
        <w:rPr>
          <w:rFonts w:hint="eastAsia"/>
          <w:lang w:val="en-US" w:eastAsia="zh-CN"/>
        </w:rPr>
        <w:t>.</w:t>
      </w:r>
      <w:r>
        <w:rPr>
          <w:rFonts w:hint="eastAsia"/>
        </w:rPr>
        <w:t>术语；3</w:t>
      </w:r>
      <w:r>
        <w:rPr>
          <w:rFonts w:hint="eastAsia"/>
          <w:lang w:val="en-US" w:eastAsia="zh-CN"/>
        </w:rPr>
        <w:t>.</w:t>
      </w:r>
      <w:r>
        <w:rPr>
          <w:rFonts w:hint="eastAsia"/>
        </w:rPr>
        <w:t>基本规定；4</w:t>
      </w:r>
      <w:r>
        <w:rPr>
          <w:rFonts w:hint="eastAsia"/>
          <w:lang w:val="en-US" w:eastAsia="zh-CN"/>
        </w:rPr>
        <w:t>.</w:t>
      </w:r>
      <w:r>
        <w:rPr>
          <w:rFonts w:hint="eastAsia"/>
        </w:rPr>
        <w:t>专项设计评价；5</w:t>
      </w:r>
      <w:r>
        <w:rPr>
          <w:rFonts w:hint="eastAsia"/>
          <w:lang w:val="en-US" w:eastAsia="zh-CN"/>
        </w:rPr>
        <w:t>.</w:t>
      </w:r>
      <w:r>
        <w:rPr>
          <w:rFonts w:hint="eastAsia"/>
        </w:rPr>
        <w:t>施工建设评价；6</w:t>
      </w:r>
      <w:r>
        <w:rPr>
          <w:rFonts w:hint="eastAsia"/>
          <w:lang w:val="en-US" w:eastAsia="zh-CN"/>
        </w:rPr>
        <w:t>.</w:t>
      </w:r>
      <w:r>
        <w:rPr>
          <w:rFonts w:hint="eastAsia"/>
          <w:lang w:eastAsia="zh-CN"/>
        </w:rPr>
        <w:t>建设效果</w:t>
      </w:r>
      <w:r>
        <w:rPr>
          <w:rFonts w:hint="eastAsia"/>
        </w:rPr>
        <w:t>评价。</w:t>
      </w:r>
    </w:p>
    <w:p>
      <w:pPr>
        <w:bidi w:val="0"/>
      </w:pPr>
      <w:r>
        <w:rPr>
          <w:rFonts w:hint="eastAsia"/>
        </w:rPr>
        <w:t>本标准由</w:t>
      </w:r>
      <w:r>
        <w:t>山西省住房和城乡建设厅</w:t>
      </w:r>
      <w:r>
        <w:rPr>
          <w:rFonts w:hint="eastAsia"/>
        </w:rPr>
        <w:t>负责管理，由太原市城乡规划设计研究院负责具体技术内容解释。在执行过程中如有意见和建议请寄送太原市城乡规划设计研究院（地址：</w:t>
      </w:r>
      <w:r>
        <w:t>山西省</w:t>
      </w:r>
      <w:r>
        <w:rPr>
          <w:rFonts w:hint="eastAsia"/>
        </w:rPr>
        <w:t>太原市新建路70号，邮政编码：030000），以供今后修订时参考。</w:t>
      </w:r>
    </w:p>
    <w:p>
      <w:pPr>
        <w:bidi w:val="0"/>
      </w:pPr>
      <w:r>
        <w:rPr>
          <w:rFonts w:hint="eastAsia"/>
        </w:rPr>
        <w:t>本标准主编单位：太原市城乡规划设计研究院</w:t>
      </w:r>
    </w:p>
    <w:p>
      <w:pPr>
        <w:bidi w:val="0"/>
      </w:pPr>
      <w:r>
        <w:rPr>
          <w:rFonts w:hint="eastAsia"/>
        </w:rPr>
        <w:t>本标准参编单位：</w:t>
      </w:r>
    </w:p>
    <w:p/>
    <w:p/>
    <w:p/>
    <w:p>
      <w:r>
        <w:rPr>
          <w:rFonts w:hint="eastAsia"/>
        </w:rPr>
        <w:t>本标准主要起草人员：</w:t>
      </w:r>
    </w:p>
    <w:p/>
    <w:p>
      <w:r>
        <w:rPr>
          <w:rFonts w:hint="eastAsia"/>
        </w:rPr>
        <w:t>本标准主要审查人员：</w:t>
      </w:r>
    </w:p>
    <w:p/>
    <w:p/>
    <w:p>
      <w:r>
        <w:rPr>
          <w:rFonts w:hint="eastAsia"/>
        </w:rPr>
        <w:t>联系人：武建奎  13834678276</w:t>
      </w:r>
    </w:p>
    <w:p>
      <w:pPr>
        <w:rPr>
          <w:rFonts w:ascii="宋体" w:hAnsi="宋体"/>
        </w:rPr>
        <w:sectPr>
          <w:pgSz w:w="11906" w:h="16838"/>
          <w:pgMar w:top="1440" w:right="1800" w:bottom="1440" w:left="1800" w:header="851" w:footer="992" w:gutter="0"/>
          <w:cols w:space="720" w:num="1"/>
          <w:docGrid w:type="lines" w:linePitch="312" w:charSpace="0"/>
        </w:sectPr>
      </w:pPr>
      <w:r>
        <w:rPr>
          <w:rFonts w:hint="eastAsia"/>
        </w:rPr>
        <w:t xml:space="preserve"> </w:t>
      </w:r>
    </w:p>
    <w:p>
      <w:pPr>
        <w:ind w:firstLine="0" w:firstLineChars="0"/>
        <w:jc w:val="center"/>
        <w:rPr>
          <w:rFonts w:ascii="黑体" w:hAnsi="黑体" w:eastAsia="黑体" w:cs="黑体"/>
          <w:sz w:val="32"/>
          <w:szCs w:val="32"/>
        </w:rPr>
      </w:pPr>
      <w:r>
        <w:rPr>
          <w:rFonts w:hint="eastAsia" w:ascii="黑体" w:hAnsi="黑体" w:eastAsia="黑体" w:cs="黑体"/>
          <w:sz w:val="32"/>
          <w:szCs w:val="32"/>
        </w:rPr>
        <w:t>目 次</w:t>
      </w:r>
    </w:p>
    <w:p>
      <w:pPr>
        <w:pStyle w:val="4"/>
        <w:tabs>
          <w:tab w:val="right" w:leader="dot" w:pos="8306"/>
        </w:tabs>
      </w:pPr>
      <w:r>
        <w:rPr>
          <w:b/>
          <w:bCs/>
          <w:sz w:val="32"/>
          <w:szCs w:val="22"/>
        </w:rPr>
        <w:fldChar w:fldCharType="begin"/>
      </w:r>
      <w:r>
        <w:rPr>
          <w:b/>
          <w:bCs/>
          <w:sz w:val="32"/>
          <w:szCs w:val="22"/>
        </w:rPr>
        <w:instrText xml:space="preserve">TOC \o "1-2" \h \u </w:instrText>
      </w:r>
      <w:r>
        <w:rPr>
          <w:b/>
          <w:bCs/>
          <w:sz w:val="32"/>
          <w:szCs w:val="22"/>
        </w:rPr>
        <w:fldChar w:fldCharType="separate"/>
      </w:r>
    </w:p>
    <w:p>
      <w:pPr>
        <w:pStyle w:val="4"/>
        <w:tabs>
          <w:tab w:val="right" w:leader="dot" w:pos="8306"/>
        </w:tabs>
      </w:pPr>
      <w:r>
        <w:rPr>
          <w:bCs/>
          <w:szCs w:val="22"/>
        </w:rPr>
        <w:fldChar w:fldCharType="begin"/>
      </w:r>
      <w:r>
        <w:rPr>
          <w:bCs/>
          <w:szCs w:val="22"/>
        </w:rPr>
        <w:instrText xml:space="preserve"> HYPERLINK \l _Toc27483 </w:instrText>
      </w:r>
      <w:r>
        <w:rPr>
          <w:bCs/>
          <w:szCs w:val="22"/>
        </w:rPr>
        <w:fldChar w:fldCharType="separate"/>
      </w:r>
      <w:r>
        <w:rPr>
          <w:rFonts w:hint="eastAsia"/>
        </w:rPr>
        <w:t>1 总 则</w:t>
      </w:r>
      <w:r>
        <w:tab/>
      </w:r>
      <w:r>
        <w:fldChar w:fldCharType="begin"/>
      </w:r>
      <w:r>
        <w:instrText xml:space="preserve"> PAGEREF _Toc27483 \h </w:instrText>
      </w:r>
      <w:r>
        <w:fldChar w:fldCharType="separate"/>
      </w:r>
      <w:r>
        <w:t>1</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_Toc819 </w:instrText>
      </w:r>
      <w:r>
        <w:rPr>
          <w:bCs/>
          <w:szCs w:val="22"/>
        </w:rPr>
        <w:fldChar w:fldCharType="separate"/>
      </w:r>
      <w:r>
        <w:t>2</w:t>
      </w:r>
      <w:r>
        <w:rPr>
          <w:rFonts w:hint="eastAsia"/>
        </w:rPr>
        <w:t xml:space="preserve"> </w:t>
      </w:r>
      <w:r>
        <w:t>术</w:t>
      </w:r>
      <w:r>
        <w:rPr>
          <w:rFonts w:hint="eastAsia"/>
        </w:rPr>
        <w:t xml:space="preserve"> </w:t>
      </w:r>
      <w:r>
        <w:t>语</w:t>
      </w:r>
      <w:r>
        <w:tab/>
      </w:r>
      <w:r>
        <w:fldChar w:fldCharType="begin"/>
      </w:r>
      <w:r>
        <w:instrText xml:space="preserve"> PAGEREF _Toc819 \h </w:instrText>
      </w:r>
      <w:r>
        <w:fldChar w:fldCharType="separate"/>
      </w:r>
      <w:r>
        <w:t>2</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_Toc27172 </w:instrText>
      </w:r>
      <w:r>
        <w:rPr>
          <w:bCs/>
          <w:szCs w:val="22"/>
        </w:rPr>
        <w:fldChar w:fldCharType="separate"/>
      </w:r>
      <w:r>
        <w:rPr>
          <w:rFonts w:hint="eastAsia"/>
        </w:rPr>
        <w:t xml:space="preserve">3 </w:t>
      </w:r>
      <w:r>
        <w:t>基本规定</w:t>
      </w:r>
      <w:r>
        <w:tab/>
      </w:r>
      <w:r>
        <w:fldChar w:fldCharType="begin"/>
      </w:r>
      <w:r>
        <w:instrText xml:space="preserve"> PAGEREF _Toc27172 \h </w:instrText>
      </w:r>
      <w:r>
        <w:fldChar w:fldCharType="separate"/>
      </w:r>
      <w:r>
        <w:t>4</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_Toc536 </w:instrText>
      </w:r>
      <w:r>
        <w:rPr>
          <w:bCs/>
          <w:szCs w:val="22"/>
        </w:rPr>
        <w:fldChar w:fldCharType="separate"/>
      </w:r>
      <w:r>
        <w:rPr>
          <w:rFonts w:hint="eastAsia"/>
          <w:lang w:val="en-US" w:eastAsia="zh-CN"/>
        </w:rPr>
        <w:t>4</w:t>
      </w:r>
      <w:r>
        <w:rPr>
          <w:rFonts w:hint="eastAsia"/>
        </w:rPr>
        <w:t xml:space="preserve"> 评价办法</w:t>
      </w:r>
      <w:r>
        <w:tab/>
      </w:r>
      <w:r>
        <w:fldChar w:fldCharType="begin"/>
      </w:r>
      <w:r>
        <w:instrText xml:space="preserve"> PAGEREF _Toc536 \h </w:instrText>
      </w:r>
      <w:r>
        <w:fldChar w:fldCharType="separate"/>
      </w:r>
      <w:r>
        <w:t>5</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_Toc2902 </w:instrText>
      </w:r>
      <w:r>
        <w:rPr>
          <w:bCs/>
          <w:szCs w:val="22"/>
        </w:rPr>
        <w:fldChar w:fldCharType="separate"/>
      </w:r>
      <w:r>
        <w:rPr>
          <w:rFonts w:hint="eastAsia"/>
          <w:lang w:val="en-US" w:eastAsia="zh-CN"/>
        </w:rPr>
        <w:t>5</w:t>
      </w:r>
      <w:r>
        <w:rPr>
          <w:rFonts w:hint="eastAsia"/>
        </w:rPr>
        <w:t xml:space="preserve"> 专项设计评价</w:t>
      </w:r>
      <w:r>
        <w:tab/>
      </w:r>
      <w:r>
        <w:fldChar w:fldCharType="begin"/>
      </w:r>
      <w:r>
        <w:instrText xml:space="preserve"> PAGEREF _Toc2902 \h </w:instrText>
      </w:r>
      <w:r>
        <w:fldChar w:fldCharType="separate"/>
      </w:r>
      <w:r>
        <w:t>7</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_Toc5629 </w:instrText>
      </w:r>
      <w:r>
        <w:rPr>
          <w:bCs/>
          <w:szCs w:val="22"/>
        </w:rPr>
        <w:fldChar w:fldCharType="separate"/>
      </w:r>
      <w:r>
        <w:rPr>
          <w:rFonts w:hint="eastAsia"/>
          <w:lang w:val="en-US" w:eastAsia="zh-CN"/>
        </w:rPr>
        <w:t>5</w:t>
      </w:r>
      <w:r>
        <w:t>.1</w:t>
      </w:r>
      <w:r>
        <w:rPr>
          <w:rFonts w:hint="eastAsia"/>
        </w:rPr>
        <w:t xml:space="preserve"> </w:t>
      </w:r>
      <w:r>
        <w:t>控制项</w:t>
      </w:r>
      <w:r>
        <w:tab/>
      </w:r>
      <w:r>
        <w:fldChar w:fldCharType="begin"/>
      </w:r>
      <w:r>
        <w:instrText xml:space="preserve"> PAGEREF _Toc5629 \h </w:instrText>
      </w:r>
      <w:r>
        <w:fldChar w:fldCharType="separate"/>
      </w:r>
      <w:r>
        <w:t>7</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_Toc30168 </w:instrText>
      </w:r>
      <w:r>
        <w:rPr>
          <w:bCs/>
          <w:szCs w:val="22"/>
        </w:rPr>
        <w:fldChar w:fldCharType="separate"/>
      </w:r>
      <w:r>
        <w:rPr>
          <w:rFonts w:hint="eastAsia"/>
          <w:lang w:val="en-US" w:eastAsia="zh-CN"/>
        </w:rPr>
        <w:t>5</w:t>
      </w:r>
      <w:r>
        <w:t>.</w:t>
      </w:r>
      <w:r>
        <w:rPr>
          <w:rFonts w:hint="eastAsia"/>
        </w:rPr>
        <w:t>2 评分</w:t>
      </w:r>
      <w:r>
        <w:t>项</w:t>
      </w:r>
      <w:r>
        <w:tab/>
      </w:r>
      <w:r>
        <w:fldChar w:fldCharType="begin"/>
      </w:r>
      <w:r>
        <w:instrText xml:space="preserve"> PAGEREF _Toc30168 \h </w:instrText>
      </w:r>
      <w:r>
        <w:fldChar w:fldCharType="separate"/>
      </w:r>
      <w:r>
        <w:t>8</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_Toc15877 </w:instrText>
      </w:r>
      <w:r>
        <w:rPr>
          <w:bCs/>
          <w:szCs w:val="22"/>
        </w:rPr>
        <w:fldChar w:fldCharType="separate"/>
      </w:r>
      <w:r>
        <w:rPr>
          <w:rFonts w:hint="eastAsia"/>
          <w:lang w:val="en-US" w:eastAsia="zh-CN"/>
        </w:rPr>
        <w:t>6</w:t>
      </w:r>
      <w:r>
        <w:rPr>
          <w:rFonts w:hint="eastAsia"/>
        </w:rPr>
        <w:t xml:space="preserve"> </w:t>
      </w:r>
      <w:r>
        <w:t>施工建设评价</w:t>
      </w:r>
      <w:r>
        <w:tab/>
      </w:r>
      <w:r>
        <w:fldChar w:fldCharType="begin"/>
      </w:r>
      <w:r>
        <w:instrText xml:space="preserve"> PAGEREF _Toc15877 \h </w:instrText>
      </w:r>
      <w:r>
        <w:fldChar w:fldCharType="separate"/>
      </w:r>
      <w:r>
        <w:t>22</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_Toc14512 </w:instrText>
      </w:r>
      <w:r>
        <w:rPr>
          <w:bCs/>
          <w:szCs w:val="22"/>
        </w:rPr>
        <w:fldChar w:fldCharType="separate"/>
      </w:r>
      <w:r>
        <w:rPr>
          <w:rFonts w:hint="eastAsia"/>
          <w:lang w:val="en-US" w:eastAsia="zh-CN"/>
        </w:rPr>
        <w:t>6</w:t>
      </w:r>
      <w:r>
        <w:t>.1</w:t>
      </w:r>
      <w:r>
        <w:rPr>
          <w:rFonts w:hint="eastAsia"/>
        </w:rPr>
        <w:t xml:space="preserve"> </w:t>
      </w:r>
      <w:r>
        <w:t>控制</w:t>
      </w:r>
      <w:r>
        <w:rPr>
          <w:rFonts w:hint="eastAsia"/>
        </w:rPr>
        <w:t>项</w:t>
      </w:r>
      <w:r>
        <w:tab/>
      </w:r>
      <w:r>
        <w:fldChar w:fldCharType="begin"/>
      </w:r>
      <w:r>
        <w:instrText xml:space="preserve"> PAGEREF _Toc14512 \h </w:instrText>
      </w:r>
      <w:r>
        <w:fldChar w:fldCharType="separate"/>
      </w:r>
      <w:r>
        <w:t>22</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_Toc28621 </w:instrText>
      </w:r>
      <w:r>
        <w:rPr>
          <w:bCs/>
          <w:szCs w:val="22"/>
        </w:rPr>
        <w:fldChar w:fldCharType="separate"/>
      </w:r>
      <w:r>
        <w:rPr>
          <w:rFonts w:hint="eastAsia"/>
          <w:lang w:val="en-US" w:eastAsia="zh-CN"/>
        </w:rPr>
        <w:t>6</w:t>
      </w:r>
      <w:r>
        <w:t>.</w:t>
      </w:r>
      <w:r>
        <w:rPr>
          <w:rFonts w:hint="eastAsia"/>
        </w:rPr>
        <w:t>2 评分项</w:t>
      </w:r>
      <w:r>
        <w:tab/>
      </w:r>
      <w:r>
        <w:fldChar w:fldCharType="begin"/>
      </w:r>
      <w:r>
        <w:instrText xml:space="preserve"> PAGEREF _Toc28621 \h </w:instrText>
      </w:r>
      <w:r>
        <w:fldChar w:fldCharType="separate"/>
      </w:r>
      <w:r>
        <w:t>23</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_Toc13067 </w:instrText>
      </w:r>
      <w:r>
        <w:rPr>
          <w:bCs/>
          <w:szCs w:val="22"/>
        </w:rPr>
        <w:fldChar w:fldCharType="separate"/>
      </w:r>
      <w:r>
        <w:rPr>
          <w:rFonts w:hint="eastAsia"/>
          <w:lang w:val="en-US" w:eastAsia="zh-CN"/>
        </w:rPr>
        <w:t>7</w:t>
      </w:r>
      <w:r>
        <w:rPr>
          <w:rFonts w:hint="eastAsia"/>
        </w:rPr>
        <w:t xml:space="preserve"> </w:t>
      </w:r>
      <w:r>
        <w:rPr>
          <w:rFonts w:hint="eastAsia"/>
          <w:lang w:eastAsia="zh-CN"/>
        </w:rPr>
        <w:t>建设效果</w:t>
      </w:r>
      <w:r>
        <w:rPr>
          <w:rFonts w:hint="eastAsia"/>
        </w:rPr>
        <w:t>评价</w:t>
      </w:r>
      <w:r>
        <w:tab/>
      </w:r>
      <w:r>
        <w:fldChar w:fldCharType="begin"/>
      </w:r>
      <w:r>
        <w:instrText xml:space="preserve"> PAGEREF _Toc13067 \h </w:instrText>
      </w:r>
      <w:r>
        <w:fldChar w:fldCharType="separate"/>
      </w:r>
      <w:r>
        <w:t>27</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_Toc21957 </w:instrText>
      </w:r>
      <w:r>
        <w:rPr>
          <w:bCs/>
          <w:szCs w:val="22"/>
        </w:rPr>
        <w:fldChar w:fldCharType="separate"/>
      </w:r>
      <w:r>
        <w:rPr>
          <w:rFonts w:hint="eastAsia"/>
          <w:lang w:val="en-US" w:eastAsia="zh-CN"/>
        </w:rPr>
        <w:t>7</w:t>
      </w:r>
      <w:r>
        <w:t>.1</w:t>
      </w:r>
      <w:r>
        <w:rPr>
          <w:rFonts w:hint="eastAsia"/>
        </w:rPr>
        <w:t xml:space="preserve"> </w:t>
      </w:r>
      <w:r>
        <w:t>控制项</w:t>
      </w:r>
      <w:r>
        <w:tab/>
      </w:r>
      <w:r>
        <w:fldChar w:fldCharType="begin"/>
      </w:r>
      <w:r>
        <w:instrText xml:space="preserve"> PAGEREF _Toc21957 \h </w:instrText>
      </w:r>
      <w:r>
        <w:fldChar w:fldCharType="separate"/>
      </w:r>
      <w:r>
        <w:t>27</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_Toc30120 </w:instrText>
      </w:r>
      <w:r>
        <w:rPr>
          <w:bCs/>
          <w:szCs w:val="22"/>
        </w:rPr>
        <w:fldChar w:fldCharType="separate"/>
      </w:r>
      <w:r>
        <w:rPr>
          <w:rFonts w:hint="eastAsia"/>
          <w:lang w:val="en-US" w:eastAsia="zh-CN"/>
        </w:rPr>
        <w:t>7</w:t>
      </w:r>
      <w:r>
        <w:rPr>
          <w:rFonts w:hint="eastAsia"/>
        </w:rPr>
        <w:t>.2 评分项</w:t>
      </w:r>
      <w:r>
        <w:tab/>
      </w:r>
      <w:r>
        <w:fldChar w:fldCharType="begin"/>
      </w:r>
      <w:r>
        <w:instrText xml:space="preserve"> PAGEREF _Toc30120 \h </w:instrText>
      </w:r>
      <w:r>
        <w:fldChar w:fldCharType="separate"/>
      </w:r>
      <w:r>
        <w:t>28</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_Toc21882 </w:instrText>
      </w:r>
      <w:r>
        <w:rPr>
          <w:bCs/>
          <w:szCs w:val="22"/>
        </w:rPr>
        <w:fldChar w:fldCharType="separate"/>
      </w:r>
      <w:r>
        <w:rPr>
          <w:rFonts w:hint="eastAsia"/>
          <w:lang w:val="en-US" w:eastAsia="zh-CN"/>
        </w:rPr>
        <w:t>8</w:t>
      </w:r>
      <w:r>
        <w:rPr>
          <w:rFonts w:hint="eastAsia"/>
        </w:rPr>
        <w:t xml:space="preserve"> 提高与创新</w:t>
      </w:r>
      <w:r>
        <w:tab/>
      </w:r>
      <w:r>
        <w:fldChar w:fldCharType="begin"/>
      </w:r>
      <w:r>
        <w:instrText xml:space="preserve"> PAGEREF _Toc21882 \h </w:instrText>
      </w:r>
      <w:r>
        <w:fldChar w:fldCharType="separate"/>
      </w:r>
      <w:r>
        <w:t>32</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_Toc12421 </w:instrText>
      </w:r>
      <w:r>
        <w:rPr>
          <w:bCs/>
          <w:szCs w:val="22"/>
        </w:rPr>
        <w:fldChar w:fldCharType="separate"/>
      </w:r>
      <w:r>
        <w:rPr>
          <w:rFonts w:hint="eastAsia"/>
          <w:lang w:val="en-US" w:eastAsia="zh-CN"/>
        </w:rPr>
        <w:t>8</w:t>
      </w:r>
      <w:r>
        <w:rPr>
          <w:rFonts w:hint="eastAsia"/>
        </w:rPr>
        <w:t>.1 一般规定</w:t>
      </w:r>
      <w:r>
        <w:tab/>
      </w:r>
      <w:r>
        <w:fldChar w:fldCharType="begin"/>
      </w:r>
      <w:r>
        <w:instrText xml:space="preserve"> PAGEREF _Toc12421 \h </w:instrText>
      </w:r>
      <w:r>
        <w:fldChar w:fldCharType="separate"/>
      </w:r>
      <w:r>
        <w:t>32</w:t>
      </w:r>
      <w:r>
        <w:fldChar w:fldCharType="end"/>
      </w:r>
      <w:r>
        <w:rPr>
          <w:bCs/>
          <w:szCs w:val="22"/>
        </w:rPr>
        <w:fldChar w:fldCharType="end"/>
      </w:r>
    </w:p>
    <w:p>
      <w:pPr>
        <w:pStyle w:val="5"/>
        <w:tabs>
          <w:tab w:val="right" w:leader="dot" w:pos="8306"/>
        </w:tabs>
      </w:pPr>
      <w:r>
        <w:rPr>
          <w:bCs/>
          <w:szCs w:val="22"/>
        </w:rPr>
        <w:fldChar w:fldCharType="begin"/>
      </w:r>
      <w:r>
        <w:rPr>
          <w:bCs/>
          <w:szCs w:val="22"/>
        </w:rPr>
        <w:instrText xml:space="preserve"> HYPERLINK \l _Toc17674 </w:instrText>
      </w:r>
      <w:r>
        <w:rPr>
          <w:bCs/>
          <w:szCs w:val="22"/>
        </w:rPr>
        <w:fldChar w:fldCharType="separate"/>
      </w:r>
      <w:r>
        <w:rPr>
          <w:rFonts w:hint="eastAsia"/>
          <w:highlight w:val="none"/>
          <w:lang w:val="en-US" w:eastAsia="zh-CN"/>
        </w:rPr>
        <w:t>8</w:t>
      </w:r>
      <w:r>
        <w:rPr>
          <w:rFonts w:hint="eastAsia"/>
          <w:highlight w:val="none"/>
        </w:rPr>
        <w:t>.2 加分项</w:t>
      </w:r>
      <w:r>
        <w:tab/>
      </w:r>
      <w:r>
        <w:fldChar w:fldCharType="begin"/>
      </w:r>
      <w:r>
        <w:instrText xml:space="preserve"> PAGEREF _Toc17674 \h </w:instrText>
      </w:r>
      <w:r>
        <w:fldChar w:fldCharType="separate"/>
      </w:r>
      <w:r>
        <w:t>32</w:t>
      </w:r>
      <w:r>
        <w:fldChar w:fldCharType="end"/>
      </w:r>
      <w:r>
        <w:rPr>
          <w:bCs/>
          <w:szCs w:val="22"/>
        </w:rPr>
        <w:fldChar w:fldCharType="end"/>
      </w:r>
    </w:p>
    <w:p>
      <w:pPr>
        <w:pStyle w:val="4"/>
        <w:tabs>
          <w:tab w:val="right" w:leader="dot" w:pos="8306"/>
        </w:tabs>
      </w:pPr>
      <w:r>
        <w:rPr>
          <w:bCs/>
          <w:szCs w:val="22"/>
        </w:rPr>
        <w:fldChar w:fldCharType="begin"/>
      </w:r>
      <w:r>
        <w:rPr>
          <w:bCs/>
          <w:szCs w:val="22"/>
        </w:rPr>
        <w:instrText xml:space="preserve"> HYPERLINK \l _Toc5885 </w:instrText>
      </w:r>
      <w:r>
        <w:rPr>
          <w:bCs/>
          <w:szCs w:val="22"/>
        </w:rPr>
        <w:fldChar w:fldCharType="separate"/>
      </w:r>
      <w:r>
        <w:rPr>
          <w:rFonts w:hint="eastAsia"/>
        </w:rPr>
        <w:t>附录</w:t>
      </w:r>
      <w:r>
        <w:t>A</w:t>
      </w:r>
      <w:r>
        <w:rPr>
          <w:rFonts w:hint="eastAsia"/>
        </w:rPr>
        <w:t>海绵城市建设项目评价表</w:t>
      </w:r>
      <w:r>
        <w:tab/>
      </w:r>
      <w:r>
        <w:fldChar w:fldCharType="begin"/>
      </w:r>
      <w:r>
        <w:instrText xml:space="preserve"> PAGEREF _Toc5885 \h </w:instrText>
      </w:r>
      <w:r>
        <w:fldChar w:fldCharType="separate"/>
      </w:r>
      <w:r>
        <w:t>33</w:t>
      </w:r>
      <w:r>
        <w:fldChar w:fldCharType="end"/>
      </w:r>
      <w:r>
        <w:rPr>
          <w:bCs/>
          <w:szCs w:val="22"/>
        </w:rPr>
        <w:fldChar w:fldCharType="end"/>
      </w:r>
    </w:p>
    <w:p>
      <w:pPr>
        <w:pStyle w:val="4"/>
        <w:tabs>
          <w:tab w:val="right" w:leader="dot" w:pos="8306"/>
        </w:tabs>
      </w:pPr>
      <w:r>
        <w:rPr>
          <w:rFonts w:hint="eastAsia"/>
          <w:bCs/>
          <w:szCs w:val="22"/>
          <w:lang w:eastAsia="zh-CN"/>
        </w:rPr>
        <w:t>附录</w:t>
      </w:r>
      <w:r>
        <w:rPr>
          <w:bCs/>
          <w:szCs w:val="22"/>
        </w:rPr>
        <w:fldChar w:fldCharType="begin"/>
      </w:r>
      <w:r>
        <w:rPr>
          <w:bCs/>
          <w:szCs w:val="22"/>
        </w:rPr>
        <w:instrText xml:space="preserve"> HYPERLINK \l _Toc12627 </w:instrText>
      </w:r>
      <w:r>
        <w:rPr>
          <w:bCs/>
          <w:szCs w:val="22"/>
        </w:rPr>
        <w:fldChar w:fldCharType="separate"/>
      </w:r>
      <w:r>
        <w:rPr>
          <w:rFonts w:hint="eastAsia"/>
          <w:lang w:val="en-US" w:eastAsia="zh-CN"/>
        </w:rPr>
        <w:t>B</w:t>
      </w:r>
      <w:bookmarkStart w:id="159" w:name="_GoBack"/>
      <w:bookmarkEnd w:id="159"/>
      <w:r>
        <w:rPr>
          <w:rFonts w:hint="default"/>
          <w:lang w:val="en-US" w:eastAsia="zh-CN"/>
        </w:rPr>
        <w:t xml:space="preserve"> </w:t>
      </w:r>
      <w:r>
        <w:rPr>
          <w:rFonts w:hint="eastAsia"/>
          <w:lang w:val="en-US" w:eastAsia="zh-CN"/>
        </w:rPr>
        <w:t>山西省</w:t>
      </w:r>
      <w:r>
        <w:rPr>
          <w:rFonts w:hint="default"/>
          <w:lang w:val="en-US" w:eastAsia="zh-CN"/>
        </w:rPr>
        <w:t>各市年径流总量控制率对应的设计降雨量值一览表</w:t>
      </w:r>
      <w:r>
        <w:tab/>
      </w:r>
      <w:r>
        <w:fldChar w:fldCharType="begin"/>
      </w:r>
      <w:r>
        <w:instrText xml:space="preserve"> PAGEREF _Toc12627 \h </w:instrText>
      </w:r>
      <w:r>
        <w:fldChar w:fldCharType="separate"/>
      </w:r>
      <w:r>
        <w:t>35</w:t>
      </w:r>
      <w:r>
        <w:fldChar w:fldCharType="end"/>
      </w:r>
      <w:r>
        <w:rPr>
          <w:bCs/>
          <w:szCs w:val="22"/>
        </w:rPr>
        <w:fldChar w:fldCharType="end"/>
      </w:r>
    </w:p>
    <w:p>
      <w:pPr>
        <w:keepNext w:val="0"/>
        <w:keepLines w:val="0"/>
        <w:pageBreakBefore w:val="0"/>
        <w:widowControl w:val="0"/>
        <w:numPr>
          <w:ilvl w:val="2"/>
          <w:numId w:val="0"/>
        </w:numPr>
        <w:kinsoku/>
        <w:wordWrap/>
        <w:overflowPunct/>
        <w:topLinePunct w:val="0"/>
        <w:autoSpaceDE/>
        <w:autoSpaceDN/>
        <w:bidi w:val="0"/>
        <w:adjustRightInd/>
        <w:snapToGrid/>
        <w:ind w:firstLine="0" w:firstLineChars="0"/>
        <w:jc w:val="left"/>
        <w:textAlignment w:val="auto"/>
        <w:rPr>
          <w:bCs/>
          <w:szCs w:val="22"/>
        </w:rPr>
        <w:sectPr>
          <w:footerReference r:id="rId5" w:type="default"/>
          <w:pgSz w:w="11906" w:h="16838"/>
          <w:pgMar w:top="1440" w:right="1800" w:bottom="1440" w:left="1800" w:header="851" w:footer="992" w:gutter="0"/>
          <w:cols w:space="425" w:num="1"/>
          <w:docGrid w:type="lines" w:linePitch="312" w:charSpace="0"/>
        </w:sectPr>
      </w:pPr>
      <w:r>
        <w:rPr>
          <w:bCs/>
          <w:szCs w:val="22"/>
        </w:rPr>
        <w:fldChar w:fldCharType="end"/>
      </w:r>
    </w:p>
    <w:p>
      <w:pPr>
        <w:pStyle w:val="2"/>
        <w:jc w:val="center"/>
      </w:pPr>
      <w:bookmarkStart w:id="6" w:name="_Toc27483"/>
      <w:bookmarkStart w:id="7" w:name="_Toc21126"/>
      <w:bookmarkStart w:id="8" w:name="_Toc164442234"/>
      <w:r>
        <w:rPr>
          <w:rFonts w:hint="eastAsia"/>
        </w:rPr>
        <w:t>1 总 则</w:t>
      </w:r>
      <w:bookmarkEnd w:id="6"/>
      <w:bookmarkEnd w:id="7"/>
      <w:bookmarkEnd w:id="8"/>
    </w:p>
    <w:p>
      <w:pPr>
        <w:bidi w:val="0"/>
      </w:pPr>
      <w:r>
        <w:t>1.0.1为科学引导和规范管理</w:t>
      </w:r>
      <w:r>
        <w:rPr>
          <w:rFonts w:hint="eastAsia"/>
        </w:rPr>
        <w:t>山西省</w:t>
      </w:r>
      <w:r>
        <w:t>海绵城市建设项目评价工作，</w:t>
      </w:r>
      <w:r>
        <w:rPr>
          <w:rFonts w:hint="eastAsia"/>
        </w:rPr>
        <w:t>促进海绵城市建设项目质量提升，</w:t>
      </w:r>
      <w:r>
        <w:t>制定本标准。</w:t>
      </w:r>
    </w:p>
    <w:p>
      <w:pPr>
        <w:bidi w:val="0"/>
      </w:pPr>
      <w:r>
        <w:t>1</w:t>
      </w:r>
      <w:r>
        <w:rPr>
          <w:rFonts w:hint="eastAsia"/>
        </w:rPr>
        <w:t>.</w:t>
      </w:r>
      <w:r>
        <w:t>0.2本标准适用于</w:t>
      </w:r>
      <w:r>
        <w:rPr>
          <w:rFonts w:hint="eastAsia"/>
        </w:rPr>
        <w:t>山西</w:t>
      </w:r>
      <w:r>
        <w:t>省新</w:t>
      </w:r>
      <w:r>
        <w:rPr>
          <w:rFonts w:hint="eastAsia"/>
        </w:rPr>
        <w:t>建</w:t>
      </w:r>
      <w:r>
        <w:t>、改</w:t>
      </w:r>
      <w:r>
        <w:rPr>
          <w:rFonts w:hint="eastAsia"/>
        </w:rPr>
        <w:t>建</w:t>
      </w:r>
      <w:r>
        <w:t>、扩建</w:t>
      </w:r>
      <w:r>
        <w:rPr>
          <w:rFonts w:hint="eastAsia"/>
        </w:rPr>
        <w:t>的</w:t>
      </w:r>
      <w:r>
        <w:t>建筑与小区、道路</w:t>
      </w:r>
      <w:r>
        <w:rPr>
          <w:rFonts w:hint="eastAsia"/>
          <w:lang w:val="en-US" w:eastAsia="zh-CN"/>
        </w:rPr>
        <w:t>与广场</w:t>
      </w:r>
      <w:r>
        <w:t>、</w:t>
      </w:r>
      <w:r>
        <w:rPr>
          <w:rFonts w:hint="eastAsia"/>
          <w:lang w:val="en-US" w:eastAsia="zh-CN"/>
        </w:rPr>
        <w:t>公园</w:t>
      </w:r>
      <w:r>
        <w:t>绿地海绵城市建设</w:t>
      </w:r>
      <w:r>
        <w:rPr>
          <w:rFonts w:hint="eastAsia"/>
        </w:rPr>
        <w:t>项目</w:t>
      </w:r>
      <w:r>
        <w:t>的评价。</w:t>
      </w:r>
    </w:p>
    <w:p>
      <w:pPr>
        <w:bidi w:val="0"/>
      </w:pPr>
      <w:r>
        <w:t>本标准不适用于流域类综合性</w:t>
      </w:r>
      <w:r>
        <w:rPr>
          <w:rFonts w:hint="eastAsia"/>
          <w:lang w:val="en-US" w:eastAsia="zh-CN"/>
        </w:rPr>
        <w:t>项目</w:t>
      </w:r>
      <w:r>
        <w:t>的评价。</w:t>
      </w:r>
    </w:p>
    <w:p>
      <w:pPr>
        <w:bidi w:val="0"/>
      </w:pPr>
      <w:r>
        <w:t>1</w:t>
      </w:r>
      <w:r>
        <w:rPr>
          <w:rFonts w:hint="eastAsia"/>
        </w:rPr>
        <w:t>.</w:t>
      </w:r>
      <w:r>
        <w:t>0.3海绵城市建设项目评价</w:t>
      </w:r>
      <w:r>
        <w:rPr>
          <w:rFonts w:hint="eastAsia"/>
        </w:rPr>
        <w:t>应以建设效果为导向，</w:t>
      </w:r>
      <w:r>
        <w:t>遵循因地制宜的原则</w:t>
      </w:r>
      <w:r>
        <w:rPr>
          <w:rFonts w:hint="eastAsia"/>
        </w:rPr>
        <w:t>，</w:t>
      </w:r>
      <w:r>
        <w:t>结合项目功能要求及场地特点，进行客观、</w:t>
      </w:r>
      <w:r>
        <w:rPr>
          <w:rFonts w:hint="eastAsia"/>
        </w:rPr>
        <w:t>系统</w:t>
      </w:r>
      <w:r>
        <w:t>、公平</w:t>
      </w:r>
      <w:r>
        <w:rPr>
          <w:rFonts w:hint="eastAsia"/>
        </w:rPr>
        <w:t>公正的</w:t>
      </w:r>
      <w:r>
        <w:t>评价。</w:t>
      </w:r>
    </w:p>
    <w:p>
      <w:pPr>
        <w:bidi w:val="0"/>
      </w:pPr>
      <w:r>
        <w:t>1</w:t>
      </w:r>
      <w:r>
        <w:rPr>
          <w:rFonts w:hint="eastAsia"/>
        </w:rPr>
        <w:t>.</w:t>
      </w:r>
      <w:r>
        <w:t>0.4海绵城市建设项目评价除应符合本标准的规定外，尚应符合国家</w:t>
      </w:r>
      <w:r>
        <w:rPr>
          <w:rFonts w:hint="eastAsia"/>
          <w:lang w:eastAsia="zh-CN"/>
        </w:rPr>
        <w:t>、行业</w:t>
      </w:r>
      <w:r>
        <w:t>及</w:t>
      </w:r>
      <w:r>
        <w:rPr>
          <w:rFonts w:hint="eastAsia"/>
          <w:lang w:eastAsia="zh-CN"/>
        </w:rPr>
        <w:t>山西省</w:t>
      </w:r>
      <w:r>
        <w:t>现行有关标准的规定</w:t>
      </w:r>
      <w:r>
        <w:rPr>
          <w:rFonts w:hint="eastAsia"/>
        </w:rPr>
        <w:t>。</w:t>
      </w:r>
    </w:p>
    <w:p>
      <w:r>
        <w:br w:type="page"/>
      </w:r>
    </w:p>
    <w:p>
      <w:pPr>
        <w:pStyle w:val="2"/>
      </w:pPr>
      <w:bookmarkStart w:id="9" w:name="_Toc819"/>
      <w:bookmarkStart w:id="10" w:name="_Toc164442235"/>
      <w:bookmarkStart w:id="11" w:name="_Toc32678"/>
      <w:r>
        <w:t>2</w:t>
      </w:r>
      <w:r>
        <w:rPr>
          <w:rFonts w:hint="eastAsia"/>
        </w:rPr>
        <w:t xml:space="preserve"> </w:t>
      </w:r>
      <w:r>
        <w:t>术</w:t>
      </w:r>
      <w:r>
        <w:rPr>
          <w:rFonts w:hint="eastAsia"/>
        </w:rPr>
        <w:t xml:space="preserve"> </w:t>
      </w:r>
      <w:r>
        <w:t>语</w:t>
      </w:r>
      <w:bookmarkEnd w:id="9"/>
      <w:bookmarkEnd w:id="10"/>
      <w:bookmarkEnd w:id="11"/>
    </w:p>
    <w:p>
      <w:pPr>
        <w:bidi w:val="0"/>
      </w:pPr>
      <w:r>
        <w:t>2.0.1海绵城市建设项目 sponge city construction project</w:t>
      </w:r>
    </w:p>
    <w:p>
      <w:pPr>
        <w:bidi w:val="0"/>
      </w:pPr>
      <w:r>
        <w:t>城市建设用地范围内按照海绵城市理念，综合采用</w:t>
      </w:r>
      <w:r>
        <w:rPr>
          <w:rFonts w:hint="eastAsia"/>
        </w:rPr>
        <w:t>“</w:t>
      </w:r>
      <w:r>
        <w:t>渗、滞、蓄、净、用、排</w:t>
      </w:r>
      <w:r>
        <w:rPr>
          <w:rFonts w:hint="eastAsia"/>
        </w:rPr>
        <w:t>”</w:t>
      </w:r>
      <w:r>
        <w:t>等技术措施进行开发建设的项目。</w:t>
      </w:r>
    </w:p>
    <w:p>
      <w:pPr>
        <w:bidi w:val="0"/>
      </w:pPr>
      <w:r>
        <w:t>2.0.</w:t>
      </w:r>
      <w:r>
        <w:rPr>
          <w:rFonts w:hint="eastAsia"/>
        </w:rPr>
        <w:t>2</w:t>
      </w:r>
      <w:r>
        <w:t>年径流总量控制率 volume capture ratio of annual rainfall</w:t>
      </w:r>
    </w:p>
    <w:p>
      <w:pPr>
        <w:bidi w:val="0"/>
      </w:pPr>
      <w:r>
        <w:t>通过自然与人工强化的渗透、滞蓄、净化等方式控制城市建设下垫面的降雨径流，场地内累积全年得到控制的雨量占</w:t>
      </w:r>
      <w:r>
        <w:rPr>
          <w:rFonts w:hint="eastAsia"/>
          <w:lang w:val="en-US" w:eastAsia="zh-CN"/>
        </w:rPr>
        <w:t>多年平均</w:t>
      </w:r>
      <w:r>
        <w:t>年总降雨量的比值。</w:t>
      </w:r>
    </w:p>
    <w:p>
      <w:pPr>
        <w:bidi w:val="0"/>
      </w:pPr>
      <w:r>
        <w:t>2.0.</w:t>
      </w:r>
      <w:r>
        <w:rPr>
          <w:rFonts w:hint="eastAsia"/>
        </w:rPr>
        <w:t>3</w:t>
      </w:r>
      <w:r>
        <w:t>年径流污染</w:t>
      </w:r>
      <w:r>
        <w:rPr>
          <w:rFonts w:hint="eastAsia"/>
          <w:lang w:val="en-US" w:eastAsia="zh-CN"/>
        </w:rPr>
        <w:t>物总量</w:t>
      </w:r>
      <w:r>
        <w:t>削减率reduction rate of annual rainfallrunoff pollution</w:t>
      </w:r>
    </w:p>
    <w:p>
      <w:pPr>
        <w:bidi w:val="0"/>
      </w:pPr>
      <w:r>
        <w:t>在年均降雨条件下，规划或设计范围内累计全年削减的径流污染物总量占全年雨水径流污染物总量的百分比。</w:t>
      </w:r>
    </w:p>
    <w:p>
      <w:pPr>
        <w:bidi w:val="0"/>
      </w:pPr>
      <w:r>
        <w:t>2.0.</w:t>
      </w:r>
      <w:r>
        <w:rPr>
          <w:rFonts w:hint="eastAsia"/>
        </w:rPr>
        <w:t>4</w:t>
      </w:r>
      <w:r>
        <w:t>雨水资源化利用率 rate of rainfall resources utilization</w:t>
      </w:r>
    </w:p>
    <w:p>
      <w:pPr>
        <w:bidi w:val="0"/>
        <w:rPr>
          <w:rFonts w:ascii="Times New Roman" w:hAnsi="Times New Roman" w:eastAsia="宋体"/>
        </w:rPr>
      </w:pPr>
      <w:r>
        <w:rPr>
          <w:rFonts w:ascii="Times New Roman" w:hAnsi="Times New Roman" w:eastAsia="宋体"/>
        </w:rPr>
        <w:t>雨水收集并用于道路冲洗、园林绿地灌溉、市政杂用、工农业生产、冷却、景观</w:t>
      </w:r>
      <w:r>
        <w:rPr>
          <w:rFonts w:hint="eastAsia" w:ascii="Times New Roman" w:hAnsi="Times New Roman" w:eastAsia="宋体"/>
        </w:rPr>
        <w:t>水体</w:t>
      </w:r>
      <w:r>
        <w:rPr>
          <w:rFonts w:ascii="Times New Roman" w:hAnsi="Times New Roman" w:eastAsia="宋体"/>
        </w:rPr>
        <w:t>补水等的年雨水</w:t>
      </w:r>
      <w:r>
        <w:rPr>
          <w:rFonts w:hint="eastAsia" w:ascii="Times New Roman" w:hAnsi="Times New Roman" w:eastAsia="宋体"/>
        </w:rPr>
        <w:t>直接</w:t>
      </w:r>
      <w:r>
        <w:rPr>
          <w:rFonts w:ascii="Times New Roman" w:hAnsi="Times New Roman" w:eastAsia="宋体"/>
        </w:rPr>
        <w:t>利用总量与年平均降雨量之比值。</w:t>
      </w:r>
    </w:p>
    <w:p>
      <w:pPr>
        <w:bidi w:val="0"/>
        <w:rPr>
          <w:rFonts w:ascii="Times New Roman" w:hAnsi="Times New Roman" w:eastAsia="宋体"/>
        </w:rPr>
      </w:pPr>
      <w:r>
        <w:rPr>
          <w:rFonts w:hint="eastAsia" w:ascii="Times New Roman" w:hAnsi="Times New Roman" w:eastAsia="宋体"/>
          <w:lang w:val="en-US" w:eastAsia="zh-CN"/>
        </w:rPr>
        <w:t>2.0.5</w:t>
      </w:r>
      <w:r>
        <w:rPr>
          <w:rFonts w:ascii="Times New Roman" w:hAnsi="Times New Roman" w:eastAsia="宋体"/>
        </w:rPr>
        <w:t>区域流域 regional basin</w:t>
      </w:r>
    </w:p>
    <w:p>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城市所在的山水林田湖草沙生态系统网络空间中的区域和流域，具体指由分水线包围的与城市有直接上下游</w:t>
      </w:r>
      <w:r>
        <w:rPr>
          <w:rFonts w:hint="eastAsia" w:ascii="Times New Roman" w:hAnsi="Times New Roman" w:eastAsia="宋体" w:cs="Times New Roman"/>
          <w:sz w:val="24"/>
          <w:szCs w:val="24"/>
        </w:rPr>
        <w:t>雨水</w:t>
      </w:r>
      <w:r>
        <w:rPr>
          <w:rFonts w:ascii="Times New Roman" w:hAnsi="Times New Roman" w:eastAsia="宋体" w:cs="Times New Roman"/>
          <w:sz w:val="24"/>
          <w:szCs w:val="24"/>
        </w:rPr>
        <w:t>径流汇水关系，或因</w:t>
      </w:r>
      <w:r>
        <w:rPr>
          <w:rFonts w:hint="eastAsia" w:ascii="Times New Roman" w:hAnsi="Times New Roman" w:eastAsia="宋体" w:cs="Times New Roman"/>
          <w:sz w:val="24"/>
          <w:szCs w:val="24"/>
        </w:rPr>
        <w:t>雨水</w:t>
      </w:r>
      <w:r>
        <w:rPr>
          <w:rFonts w:ascii="Times New Roman" w:hAnsi="Times New Roman" w:eastAsia="宋体" w:cs="Times New Roman"/>
          <w:sz w:val="24"/>
          <w:szCs w:val="24"/>
        </w:rPr>
        <w:t>径流水位变化引发的河道水体流动关系的地面集水区域。</w:t>
      </w:r>
    </w:p>
    <w:p>
      <w:pPr>
        <w:bidi w:val="0"/>
        <w:rPr>
          <w:rFonts w:hint="eastAsia" w:ascii="Times New Roman" w:hAnsi="Times New Roman" w:eastAsia="宋体"/>
          <w:lang w:val="en-US" w:eastAsia="zh-CN"/>
        </w:rPr>
      </w:pPr>
      <w:r>
        <w:rPr>
          <w:rFonts w:hint="eastAsia" w:ascii="Times New Roman" w:hAnsi="Times New Roman" w:eastAsia="宋体"/>
          <w:lang w:val="en-US" w:eastAsia="zh-CN"/>
        </w:rPr>
        <w:t>2.0.6片区 district</w:t>
      </w:r>
    </w:p>
    <w:p>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在城市范围内由一个或多个排水分区组成的具有</w:t>
      </w:r>
      <w:r>
        <w:rPr>
          <w:rFonts w:hint="eastAsia" w:ascii="Times New Roman" w:hAnsi="Times New Roman" w:eastAsia="宋体" w:cs="Times New Roman"/>
          <w:sz w:val="24"/>
          <w:szCs w:val="24"/>
        </w:rPr>
        <w:t>雨水</w:t>
      </w:r>
      <w:r>
        <w:rPr>
          <w:rFonts w:ascii="Times New Roman" w:hAnsi="Times New Roman" w:eastAsia="宋体" w:cs="Times New Roman"/>
          <w:sz w:val="24"/>
          <w:szCs w:val="24"/>
        </w:rPr>
        <w:t>径流水力关系的空间范围，可包含多个详细规划的管控单元、一个或多个分区规划空间。</w:t>
      </w:r>
    </w:p>
    <w:p>
      <w:pPr>
        <w:bidi w:val="0"/>
      </w:pPr>
      <w:r>
        <w:t>2.0.</w:t>
      </w:r>
      <w:r>
        <w:rPr>
          <w:rFonts w:hint="eastAsia"/>
          <w:lang w:val="en-US" w:eastAsia="zh-CN"/>
        </w:rPr>
        <w:t>7</w:t>
      </w:r>
      <w:r>
        <w:t>海绵</w:t>
      </w:r>
      <w:r>
        <w:rPr>
          <w:rFonts w:hint="eastAsia"/>
        </w:rPr>
        <w:t>城市</w:t>
      </w:r>
      <w:r>
        <w:t>设施 sponge facility</w:t>
      </w:r>
    </w:p>
    <w:p>
      <w:pPr>
        <w:bidi w:val="0"/>
      </w:pPr>
      <w:r>
        <w:t>在海绵城市建设中发挥</w:t>
      </w:r>
      <w:r>
        <w:rPr>
          <w:rFonts w:hint="eastAsia"/>
        </w:rPr>
        <w:t>“</w:t>
      </w:r>
      <w:r>
        <w:t>渗、滞、蓄、净、用、排</w:t>
      </w:r>
      <w:r>
        <w:rPr>
          <w:rFonts w:hint="eastAsia"/>
        </w:rPr>
        <w:t>”</w:t>
      </w:r>
      <w:r>
        <w:t>功能的雨水设施。</w:t>
      </w:r>
    </w:p>
    <w:p>
      <w:pPr>
        <w:bidi w:val="0"/>
      </w:pPr>
      <w:r>
        <w:t>2.0.</w:t>
      </w:r>
      <w:r>
        <w:rPr>
          <w:rFonts w:hint="eastAsia"/>
          <w:lang w:val="en-US" w:eastAsia="zh-CN"/>
        </w:rPr>
        <w:t>8</w:t>
      </w:r>
      <w:r>
        <w:t>绿色设施 green infrastructure</w:t>
      </w:r>
    </w:p>
    <w:p>
      <w:pPr>
        <w:bidi w:val="0"/>
        <w:rPr>
          <w:rFonts w:hint="default"/>
          <w:lang w:val="en-US" w:eastAsia="zh-CN"/>
        </w:rPr>
      </w:pPr>
      <w:r>
        <w:t>采用自然或人工模拟自然生态系统控制城市降雨径流的设施。</w:t>
      </w:r>
      <w:r>
        <w:rPr>
          <w:rFonts w:hint="eastAsia"/>
          <w:lang w:val="en-US" w:eastAsia="zh-CN"/>
        </w:rPr>
        <w:t>包括下沉绿地、雨水花园、生态植草沟、透水路面、绿化屋顶、天然水体等。</w:t>
      </w:r>
    </w:p>
    <w:p>
      <w:pPr>
        <w:bidi w:val="0"/>
      </w:pPr>
      <w:r>
        <w:t>2.0.</w:t>
      </w:r>
      <w:r>
        <w:rPr>
          <w:rFonts w:hint="eastAsia"/>
          <w:lang w:val="en-US" w:eastAsia="zh-CN"/>
        </w:rPr>
        <w:t>9</w:t>
      </w:r>
      <w:r>
        <w:t>灰色设施 gray infrastructure</w:t>
      </w:r>
    </w:p>
    <w:p>
      <w:pPr>
        <w:bidi w:val="0"/>
        <w:rPr>
          <w:rFonts w:hint="eastAsia"/>
          <w:lang w:val="en-US" w:eastAsia="zh-CN"/>
        </w:rPr>
      </w:pPr>
      <w:r>
        <w:t>传统的较高能耗的工程化</w:t>
      </w:r>
      <w:r>
        <w:rPr>
          <w:rFonts w:hint="eastAsia"/>
        </w:rPr>
        <w:t>蓄</w:t>
      </w:r>
      <w:r>
        <w:t>排水设施。</w:t>
      </w:r>
      <w:r>
        <w:rPr>
          <w:rFonts w:hint="eastAsia"/>
          <w:lang w:val="en-US" w:eastAsia="zh-CN"/>
        </w:rPr>
        <w:t>包括各类地下雨水调蓄池、调蓄管沟等。</w:t>
      </w:r>
    </w:p>
    <w:p>
      <w:pPr>
        <w:bidi w:val="0"/>
        <w:rPr>
          <w:rFonts w:hint="eastAsia"/>
        </w:rPr>
      </w:pPr>
      <w:r>
        <w:t>2.0.</w:t>
      </w:r>
      <w:r>
        <w:rPr>
          <w:rFonts w:hint="eastAsia"/>
          <w:lang w:val="en-US" w:eastAsia="zh-CN"/>
        </w:rPr>
        <w:t>10</w:t>
      </w:r>
      <w:r>
        <w:t>下垫面 underlying surface</w:t>
      </w:r>
    </w:p>
    <w:p>
      <w:pPr>
        <w:bidi w:val="0"/>
      </w:pPr>
      <w:r>
        <w:t>降雨受水面的总称，包括屋面、地面、水面等。</w:t>
      </w:r>
    </w:p>
    <w:p>
      <w:pPr>
        <w:ind w:left="0" w:leftChars="0" w:firstLine="0" w:firstLineChars="0"/>
        <w:rPr>
          <w:rFonts w:hint="eastAsia" w:ascii="仿宋" w:hAnsi="仿宋" w:eastAsia="仿宋" w:cs="仿宋"/>
          <w:highlight w:val="yellow"/>
          <w:lang w:val="en-US" w:eastAsia="zh-CN"/>
        </w:rPr>
      </w:pPr>
    </w:p>
    <w:p>
      <w:r>
        <w:br w:type="page"/>
      </w:r>
    </w:p>
    <w:p>
      <w:pPr>
        <w:pStyle w:val="2"/>
      </w:pPr>
      <w:bookmarkStart w:id="12" w:name="_Toc27172"/>
      <w:bookmarkStart w:id="13" w:name="_Toc20030"/>
      <w:bookmarkStart w:id="14" w:name="_Toc164442236"/>
      <w:r>
        <w:rPr>
          <w:rFonts w:hint="eastAsia"/>
        </w:rPr>
        <w:t xml:space="preserve">3 </w:t>
      </w:r>
      <w:r>
        <w:t>基本规定</w:t>
      </w:r>
      <w:bookmarkEnd w:id="12"/>
      <w:bookmarkEnd w:id="13"/>
      <w:bookmarkEnd w:id="14"/>
    </w:p>
    <w:p>
      <w:r>
        <w:t>3.</w:t>
      </w:r>
      <w:r>
        <w:rPr>
          <w:rFonts w:hint="eastAsia"/>
          <w:lang w:val="en-US" w:eastAsia="zh-CN"/>
        </w:rPr>
        <w:t>0.</w:t>
      </w:r>
      <w:r>
        <w:t>1本标准以落实海绵城市建设理念的建筑与小区、道路</w:t>
      </w:r>
      <w:r>
        <w:rPr>
          <w:rFonts w:hint="eastAsia"/>
        </w:rPr>
        <w:t>与</w:t>
      </w:r>
      <w:r>
        <w:t>广场、</w:t>
      </w:r>
      <w:r>
        <w:rPr>
          <w:rFonts w:hint="eastAsia"/>
          <w:lang w:val="en-US" w:eastAsia="zh-CN"/>
        </w:rPr>
        <w:t>公园</w:t>
      </w:r>
      <w:r>
        <w:t>绿地等建设项目作为评价对象。</w:t>
      </w:r>
    </w:p>
    <w:p>
      <w:r>
        <w:rPr>
          <w:rFonts w:hint="eastAsia"/>
        </w:rPr>
        <w:t>3.</w:t>
      </w:r>
      <w:r>
        <w:rPr>
          <w:rFonts w:hint="eastAsia"/>
          <w:lang w:val="en-US" w:eastAsia="zh-CN"/>
        </w:rPr>
        <w:t>0.</w:t>
      </w:r>
      <w:r>
        <w:rPr>
          <w:rFonts w:hint="eastAsia"/>
        </w:rPr>
        <w:t>2 评价范围为项目红线范围内海绵城市建设内容。分期建设的项目应在当期项目完成后，按照</w:t>
      </w:r>
      <w:r>
        <w:rPr>
          <w:rFonts w:hint="eastAsia"/>
          <w:lang w:val="en-US" w:eastAsia="zh-CN"/>
        </w:rPr>
        <w:t>规划</w:t>
      </w:r>
      <w:r>
        <w:rPr>
          <w:rFonts w:hint="eastAsia"/>
        </w:rPr>
        <w:t>设计文件中明确的地块整体指标或分解到各期地块指标进行评价。</w:t>
      </w:r>
    </w:p>
    <w:p>
      <w:pPr>
        <w:rPr>
          <w:rFonts w:hint="eastAsia"/>
          <w:lang w:val="en-US" w:eastAsia="zh-CN"/>
        </w:rPr>
      </w:pPr>
      <w:r>
        <w:rPr>
          <w:rFonts w:hint="eastAsia"/>
          <w:lang w:val="en-US" w:eastAsia="zh-CN"/>
        </w:rPr>
        <w:t>3.0.3海绵城市建设项目评价为项目建设全过程评价，包括对海绵城市建设专项设计评价、施工建设评价、建设效果评价和综合评价。</w:t>
      </w:r>
    </w:p>
    <w:p>
      <w:pPr>
        <w:rPr>
          <w:rFonts w:hint="eastAsia"/>
        </w:rPr>
      </w:pPr>
      <w:r>
        <w:rPr>
          <w:rFonts w:hint="eastAsia"/>
          <w:lang w:val="en-US" w:eastAsia="zh-CN"/>
        </w:rPr>
        <w:t>3.0.4</w:t>
      </w:r>
      <w:r>
        <w:rPr>
          <w:rFonts w:hint="eastAsia"/>
        </w:rPr>
        <w:t>专项设计评价应在设计文件审查阶段进行，</w:t>
      </w:r>
      <w:r>
        <w:rPr>
          <w:rFonts w:hint="eastAsia"/>
          <w:lang w:val="en-US" w:eastAsia="zh-CN"/>
        </w:rPr>
        <w:t>海绵城市专项设计文件和</w:t>
      </w:r>
      <w:r>
        <w:rPr>
          <w:rFonts w:hint="eastAsia"/>
        </w:rPr>
        <w:t>施工图设计文件中</w:t>
      </w:r>
      <w:r>
        <w:rPr>
          <w:rFonts w:hint="eastAsia"/>
          <w:lang w:val="en-US" w:eastAsia="zh-CN"/>
        </w:rPr>
        <w:t>除满足《山西省海绵城市建设设计文件编制规定及技术审查要点（试行）》规定的内容外还</w:t>
      </w:r>
      <w:r>
        <w:rPr>
          <w:rFonts w:hint="eastAsia"/>
        </w:rPr>
        <w:t>应包括设计自评报告。</w:t>
      </w:r>
    </w:p>
    <w:p>
      <w:pPr>
        <w:rPr>
          <w:rFonts w:hint="eastAsia"/>
        </w:rPr>
      </w:pPr>
      <w:r>
        <w:rPr>
          <w:rFonts w:hint="eastAsia"/>
          <w:lang w:val="en-US" w:eastAsia="zh-CN"/>
        </w:rPr>
        <w:t>3.0.5</w:t>
      </w:r>
      <w:r>
        <w:rPr>
          <w:rFonts w:hint="eastAsia"/>
        </w:rPr>
        <w:t>施工建设评价和</w:t>
      </w:r>
      <w:r>
        <w:rPr>
          <w:rFonts w:hint="eastAsia"/>
          <w:lang w:val="en-US" w:eastAsia="zh-CN"/>
        </w:rPr>
        <w:t>建设</w:t>
      </w:r>
      <w:r>
        <w:rPr>
          <w:rFonts w:hint="eastAsia"/>
        </w:rPr>
        <w:t>效果评价应在项目竣工验收备案前进行，建设项目完工后由建设单位自行开展或</w:t>
      </w:r>
      <w:r>
        <w:rPr>
          <w:rFonts w:hint="eastAsia"/>
          <w:lang w:val="en-US" w:eastAsia="zh-CN"/>
        </w:rPr>
        <w:t>委托</w:t>
      </w:r>
      <w:r>
        <w:rPr>
          <w:rFonts w:hint="eastAsia"/>
        </w:rPr>
        <w:t>第三方机构开展评价，并出具评价报告，评</w:t>
      </w:r>
      <w:r>
        <w:rPr>
          <w:rFonts w:hint="eastAsia"/>
          <w:lang w:val="en-US" w:eastAsia="zh-CN"/>
        </w:rPr>
        <w:t>价</w:t>
      </w:r>
      <w:r>
        <w:rPr>
          <w:rFonts w:hint="eastAsia"/>
        </w:rPr>
        <w:t>单位对评</w:t>
      </w:r>
      <w:r>
        <w:rPr>
          <w:rFonts w:hint="eastAsia"/>
          <w:lang w:val="en-US" w:eastAsia="zh-CN"/>
        </w:rPr>
        <w:t>价</w:t>
      </w:r>
      <w:r>
        <w:rPr>
          <w:rFonts w:hint="eastAsia"/>
        </w:rPr>
        <w:t>结果负责。</w:t>
      </w:r>
    </w:p>
    <w:p>
      <w:pPr>
        <w:rPr>
          <w:rFonts w:hint="default"/>
          <w:lang w:val="en-US" w:eastAsia="zh-CN"/>
        </w:rPr>
      </w:pPr>
      <w:r>
        <w:rPr>
          <w:rFonts w:hint="eastAsia"/>
          <w:lang w:val="en-US" w:eastAsia="zh-CN"/>
        </w:rPr>
        <w:t>3.0.6综合评价包括对设计、施工、建设效果和加分项的综合加权评价，在建设工程通过竣工验收并投入使用一年后进行。综合评价作为海绵城市优秀项目评选的依据。</w:t>
      </w:r>
    </w:p>
    <w:p>
      <w:r>
        <w:rPr>
          <w:rFonts w:hint="eastAsia"/>
        </w:rPr>
        <w:t>3</w:t>
      </w:r>
      <w:r>
        <w:t>.</w:t>
      </w:r>
      <w:r>
        <w:rPr>
          <w:rFonts w:hint="eastAsia"/>
          <w:lang w:val="en-US" w:eastAsia="zh-CN"/>
        </w:rPr>
        <w:t>0.7</w:t>
      </w:r>
      <w:r>
        <w:t>海绵城市建设项目</w:t>
      </w:r>
      <w:r>
        <w:rPr>
          <w:rFonts w:hint="eastAsia"/>
        </w:rPr>
        <w:t>设计、施工、</w:t>
      </w:r>
      <w:r>
        <w:rPr>
          <w:rFonts w:hint="eastAsia"/>
          <w:lang w:eastAsia="zh-CN"/>
        </w:rPr>
        <w:t>建设效果</w:t>
      </w:r>
      <w:r>
        <w:rPr>
          <w:rFonts w:hint="eastAsia"/>
        </w:rPr>
        <w:t>全过程</w:t>
      </w:r>
      <w:r>
        <w:t>评价</w:t>
      </w:r>
      <w:r>
        <w:rPr>
          <w:rFonts w:hint="eastAsia"/>
        </w:rPr>
        <w:t>结果</w:t>
      </w:r>
      <w:r>
        <w:t>应为项目竣工验收备案必要材料。</w:t>
      </w:r>
      <w:r>
        <w:rPr>
          <w:rFonts w:hint="eastAsia"/>
        </w:rPr>
        <w:t>评价单位须对评价结果负责，海绵城市主管部门应定期对评价报告质量进行抽查。</w:t>
      </w:r>
    </w:p>
    <w:p>
      <w:r>
        <w:br w:type="page"/>
      </w:r>
    </w:p>
    <w:p>
      <w:pPr>
        <w:pStyle w:val="2"/>
        <w:rPr>
          <w:rFonts w:hint="eastAsia"/>
        </w:rPr>
      </w:pPr>
      <w:bookmarkStart w:id="15" w:name="_Toc6128"/>
      <w:bookmarkStart w:id="16" w:name="_Toc164442238"/>
      <w:bookmarkStart w:id="17" w:name="_Toc536"/>
      <w:r>
        <w:rPr>
          <w:rFonts w:hint="eastAsia"/>
          <w:lang w:val="en-US" w:eastAsia="zh-CN"/>
        </w:rPr>
        <w:t>4</w:t>
      </w:r>
      <w:r>
        <w:rPr>
          <w:rFonts w:hint="eastAsia"/>
        </w:rPr>
        <w:t xml:space="preserve"> 评价办法</w:t>
      </w:r>
      <w:bookmarkEnd w:id="15"/>
      <w:bookmarkEnd w:id="16"/>
      <w:bookmarkEnd w:id="17"/>
    </w:p>
    <w:p>
      <w:r>
        <w:rPr>
          <w:rFonts w:hint="eastAsia"/>
          <w:lang w:val="en-US" w:eastAsia="zh-CN"/>
        </w:rPr>
        <w:t>4.0.1</w:t>
      </w:r>
      <w:r>
        <w:t>专项设计评价应以设计资料查阅为主</w:t>
      </w:r>
      <w:r>
        <w:rPr>
          <w:rFonts w:hint="eastAsia"/>
        </w:rPr>
        <w:t>，重要项目可</w:t>
      </w:r>
      <w:r>
        <w:rPr>
          <w:rFonts w:hint="eastAsia"/>
          <w:lang w:val="en-US" w:eastAsia="zh-CN"/>
        </w:rPr>
        <w:t>辅以</w:t>
      </w:r>
      <w:r>
        <w:rPr>
          <w:rFonts w:hint="eastAsia"/>
        </w:rPr>
        <w:t>模型模拟方式。</w:t>
      </w:r>
      <w:r>
        <w:t>对海绵城市建设目标达标性、技术措施适宜性和设计文件规范性进行评价。</w:t>
      </w:r>
    </w:p>
    <w:p>
      <w:r>
        <w:rPr>
          <w:rFonts w:hint="eastAsia"/>
          <w:lang w:val="en-US" w:eastAsia="zh-CN"/>
        </w:rPr>
        <w:t>4.0.2</w:t>
      </w:r>
      <w:r>
        <w:t>施工建设评价应采用资料查阅与现场</w:t>
      </w:r>
      <w:r>
        <w:rPr>
          <w:rFonts w:hint="eastAsia"/>
        </w:rPr>
        <w:t>核实</w:t>
      </w:r>
      <w:r>
        <w:t>相结合的方法，对施工的过程管理规范性、项目质量合格性和技术措施环保性进行评价。</w:t>
      </w:r>
    </w:p>
    <w:p>
      <w:r>
        <w:rPr>
          <w:rFonts w:hint="eastAsia"/>
          <w:lang w:val="en-US" w:eastAsia="zh-CN"/>
        </w:rPr>
        <w:t>4.0.3</w:t>
      </w:r>
      <w:r>
        <w:rPr>
          <w:rFonts w:hint="eastAsia"/>
          <w:lang w:eastAsia="zh-CN"/>
        </w:rPr>
        <w:t>建设效果</w:t>
      </w:r>
      <w:r>
        <w:t>评价应采用</w:t>
      </w:r>
      <w:r>
        <w:rPr>
          <w:rFonts w:hint="eastAsia"/>
        </w:rPr>
        <w:t>资料查阅、现场复核、水质</w:t>
      </w:r>
      <w:r>
        <w:t>监测与</w:t>
      </w:r>
      <w:r>
        <w:rPr>
          <w:rFonts w:hint="eastAsia"/>
        </w:rPr>
        <w:t>民意调查</w:t>
      </w:r>
      <w:r>
        <w:t>相结合的方法，对海绵城市</w:t>
      </w:r>
      <w:r>
        <w:rPr>
          <w:rFonts w:hint="eastAsia"/>
          <w:lang w:eastAsia="zh-CN"/>
        </w:rPr>
        <w:t>建设效果</w:t>
      </w:r>
      <w:r>
        <w:t>进行评价。</w:t>
      </w:r>
    </w:p>
    <w:p>
      <w:pPr>
        <w:rPr>
          <w:rFonts w:hint="eastAsia"/>
        </w:rPr>
      </w:pPr>
      <w:r>
        <w:rPr>
          <w:rFonts w:hint="eastAsia"/>
        </w:rPr>
        <w:t>现场核查应重点核查场地竖向、设施分布、设施构造等内容是否与经审查通过的设计文件保持一致。</w:t>
      </w:r>
    </w:p>
    <w:p>
      <w:pPr>
        <w:rPr>
          <w:rFonts w:hint="eastAsia" w:eastAsia="宋体"/>
          <w:lang w:eastAsia="zh-CN"/>
        </w:rPr>
      </w:pPr>
      <w:r>
        <w:rPr>
          <w:rFonts w:hint="eastAsia"/>
        </w:rPr>
        <w:t>现场</w:t>
      </w:r>
      <w:r>
        <w:rPr>
          <w:rFonts w:hint="eastAsia"/>
          <w:lang w:val="en-US" w:eastAsia="zh-CN"/>
        </w:rPr>
        <w:t>复核</w:t>
      </w:r>
      <w:r>
        <w:rPr>
          <w:rFonts w:hint="eastAsia"/>
        </w:rPr>
        <w:t>应涵盖所有类型</w:t>
      </w:r>
      <w:r>
        <w:rPr>
          <w:rFonts w:hint="eastAsia"/>
          <w:lang w:eastAsia="zh-CN"/>
        </w:rPr>
        <w:t>海绵城市设施</w:t>
      </w:r>
      <w:r>
        <w:rPr>
          <w:rFonts w:hint="eastAsia"/>
        </w:rPr>
        <w:t>，雨水调蓄设施全面核查，下沉式绿地、生物滞留设施、透水铺装等绿色设施按设施面积或数量不低于80%抽查</w:t>
      </w:r>
      <w:r>
        <w:rPr>
          <w:rFonts w:hint="eastAsia"/>
          <w:lang w:eastAsia="zh-CN"/>
        </w:rPr>
        <w:t>。</w:t>
      </w:r>
    </w:p>
    <w:p>
      <w:pPr>
        <w:rPr>
          <w:highlight w:val="green"/>
        </w:rPr>
      </w:pPr>
      <w:r>
        <w:rPr>
          <w:rFonts w:hint="eastAsia"/>
          <w:lang w:val="en-US" w:eastAsia="zh-CN"/>
        </w:rPr>
        <w:t>4</w:t>
      </w:r>
      <w:r>
        <w:rPr>
          <w:rFonts w:hint="eastAsia"/>
        </w:rPr>
        <w:t>.</w:t>
      </w:r>
      <w:r>
        <w:rPr>
          <w:rFonts w:hint="eastAsia"/>
          <w:lang w:val="en-US" w:eastAsia="zh-CN"/>
        </w:rPr>
        <w:t>0.4</w:t>
      </w:r>
      <w:r>
        <w:rPr>
          <w:rFonts w:hint="eastAsia"/>
        </w:rPr>
        <w:t>海绵城市建设项目评价指标包括控制项和评分项。控制项是项目</w:t>
      </w:r>
      <w:r>
        <w:rPr>
          <w:rFonts w:hint="eastAsia"/>
          <w:lang w:val="en-US" w:eastAsia="zh-CN"/>
        </w:rPr>
        <w:t>评价否决项</w:t>
      </w:r>
      <w:r>
        <w:rPr>
          <w:rFonts w:hint="eastAsia"/>
        </w:rPr>
        <w:t>。</w:t>
      </w:r>
    </w:p>
    <w:p>
      <w:r>
        <w:rPr>
          <w:rFonts w:hint="eastAsia"/>
          <w:lang w:val="en-US" w:eastAsia="zh-CN"/>
        </w:rPr>
        <w:t>4</w:t>
      </w:r>
      <w:r>
        <w:t>.</w:t>
      </w:r>
      <w:r>
        <w:rPr>
          <w:rFonts w:hint="eastAsia"/>
          <w:lang w:val="en-US" w:eastAsia="zh-CN"/>
        </w:rPr>
        <w:t>0.5</w:t>
      </w:r>
      <w:r>
        <w:t>控制项的评价结果应为满足或不满足。评分项的评价结果应为分值，各评价阶段的评分项总分应为100分。</w:t>
      </w:r>
    </w:p>
    <w:p>
      <w:r>
        <w:rPr>
          <w:rFonts w:hint="eastAsia"/>
          <w:lang w:val="en-US" w:eastAsia="zh-CN"/>
        </w:rPr>
        <w:t>4</w:t>
      </w:r>
      <w:r>
        <w:t>.</w:t>
      </w:r>
      <w:r>
        <w:rPr>
          <w:rFonts w:hint="eastAsia"/>
          <w:lang w:val="en-US" w:eastAsia="zh-CN"/>
        </w:rPr>
        <w:t>0.6</w:t>
      </w:r>
      <w:r>
        <w:t>海绵城市建设项目的评分项总得分应按式</w:t>
      </w:r>
      <w:r>
        <w:rPr>
          <w:rFonts w:hint="eastAsia"/>
          <w:lang w:val="en-US" w:eastAsia="zh-CN"/>
        </w:rPr>
        <w:t>4.0.6</w:t>
      </w:r>
      <w:r>
        <w:t>计算</w:t>
      </w:r>
      <w:r>
        <w:rPr>
          <w:rFonts w:hint="eastAsia"/>
        </w:rPr>
        <w:t>，</w:t>
      </w:r>
      <w:r>
        <w:t>其中阶段评价指标权重W</w:t>
      </w:r>
      <w:r>
        <w:rPr>
          <w:rFonts w:hint="eastAsia"/>
          <w:vertAlign w:val="subscript"/>
        </w:rPr>
        <w:t>1</w:t>
      </w:r>
      <w:r>
        <w:rPr>
          <w:rFonts w:hint="eastAsia"/>
        </w:rPr>
        <w:t>~</w:t>
      </w:r>
      <w:r>
        <w:t>W</w:t>
      </w:r>
      <w:r>
        <w:rPr>
          <w:rFonts w:hint="eastAsia"/>
          <w:vertAlign w:val="subscript"/>
        </w:rPr>
        <w:t>4</w:t>
      </w:r>
      <w:r>
        <w:t>应参照表3.2.3取值。</w:t>
      </w:r>
    </w:p>
    <w:p>
      <w:pPr>
        <w:jc w:val="right"/>
      </w:pPr>
      <w:r>
        <w:rPr>
          <w:rFonts w:cs="Times New Roman"/>
        </w:rPr>
        <w:t>Σ</w:t>
      </w:r>
      <w:r>
        <w:t>Q=W</w:t>
      </w:r>
      <w:r>
        <w:rPr>
          <w:rFonts w:hint="eastAsia"/>
          <w:vertAlign w:val="subscript"/>
        </w:rPr>
        <w:t>1</w:t>
      </w:r>
      <w:r>
        <w:t>Q</w:t>
      </w:r>
      <w:r>
        <w:rPr>
          <w:rFonts w:hint="eastAsia"/>
          <w:vertAlign w:val="subscript"/>
        </w:rPr>
        <w:t>1</w:t>
      </w:r>
      <w:r>
        <w:t>+W</w:t>
      </w:r>
      <w:r>
        <w:rPr>
          <w:vertAlign w:val="subscript"/>
        </w:rPr>
        <w:t>2</w:t>
      </w:r>
      <w:r>
        <w:t>Q</w:t>
      </w:r>
      <w:r>
        <w:rPr>
          <w:vertAlign w:val="subscript"/>
        </w:rPr>
        <w:t>2</w:t>
      </w:r>
      <w:r>
        <w:t>+W</w:t>
      </w:r>
      <w:r>
        <w:rPr>
          <w:vertAlign w:val="subscript"/>
        </w:rPr>
        <w:t>3</w:t>
      </w:r>
      <w:r>
        <w:t>Q</w:t>
      </w:r>
      <w:r>
        <w:rPr>
          <w:vertAlign w:val="subscript"/>
        </w:rPr>
        <w:t>3</w:t>
      </w:r>
      <w:r>
        <w:rPr>
          <w:rFonts w:hint="eastAsia"/>
        </w:rPr>
        <w:t>+</w:t>
      </w:r>
      <w:r>
        <w:t>Q</w:t>
      </w:r>
      <w:r>
        <w:rPr>
          <w:rFonts w:hint="eastAsia"/>
          <w:vertAlign w:val="subscript"/>
        </w:rPr>
        <w:t>4</w:t>
      </w:r>
      <w:r>
        <w:rPr>
          <w:rFonts w:hint="eastAsia"/>
        </w:rPr>
        <w:t xml:space="preserve">           </w:t>
      </w:r>
      <w:r>
        <w:t>(</w:t>
      </w:r>
      <w:r>
        <w:rPr>
          <w:rFonts w:hint="eastAsia"/>
          <w:lang w:val="en-US" w:eastAsia="zh-CN"/>
        </w:rPr>
        <w:t>4.0.6</w:t>
      </w:r>
      <w:r>
        <w:t>)</w:t>
      </w:r>
    </w:p>
    <w:p>
      <w:r>
        <w:t>式中：</w:t>
      </w:r>
      <w:r>
        <w:rPr>
          <w:rFonts w:cs="Times New Roman"/>
        </w:rPr>
        <w:t>Σ</w:t>
      </w:r>
      <w:r>
        <w:t>Q—</w:t>
      </w:r>
      <w:r>
        <w:rPr>
          <w:rFonts w:hint="eastAsia"/>
          <w:lang w:val="en-US" w:eastAsia="zh-CN"/>
        </w:rPr>
        <w:t>综合</w:t>
      </w:r>
      <w:r>
        <w:t>评分项总得分；</w:t>
      </w:r>
    </w:p>
    <w:p>
      <w:pPr>
        <w:ind w:firstLine="1200" w:firstLineChars="500"/>
      </w:pPr>
      <w:r>
        <w:t>W</w:t>
      </w:r>
      <w:r>
        <w:rPr>
          <w:rFonts w:hint="eastAsia"/>
          <w:vertAlign w:val="subscript"/>
        </w:rPr>
        <w:t>1</w:t>
      </w:r>
      <w:r>
        <w:t>——专项设计评价权重；</w:t>
      </w:r>
    </w:p>
    <w:p>
      <w:pPr>
        <w:ind w:firstLine="1200" w:firstLineChars="500"/>
      </w:pPr>
      <w:r>
        <w:t>Q</w:t>
      </w:r>
      <w:r>
        <w:rPr>
          <w:rFonts w:hint="eastAsia"/>
          <w:vertAlign w:val="subscript"/>
        </w:rPr>
        <w:t>1</w:t>
      </w:r>
      <w:r>
        <w:t>——专项设计评分项得分；</w:t>
      </w:r>
    </w:p>
    <w:p>
      <w:pPr>
        <w:ind w:firstLine="1200" w:firstLineChars="500"/>
      </w:pPr>
      <w:r>
        <w:t>W</w:t>
      </w:r>
      <w:r>
        <w:rPr>
          <w:vertAlign w:val="subscript"/>
        </w:rPr>
        <w:t>2</w:t>
      </w:r>
      <w:r>
        <w:t>—施工建设评价权重；</w:t>
      </w:r>
    </w:p>
    <w:p>
      <w:pPr>
        <w:ind w:firstLine="1200" w:firstLineChars="500"/>
      </w:pPr>
      <w:r>
        <w:t>Q</w:t>
      </w:r>
      <w:r>
        <w:rPr>
          <w:vertAlign w:val="subscript"/>
        </w:rPr>
        <w:t>2</w:t>
      </w:r>
      <w:r>
        <w:t>——施工建设评分项得分；</w:t>
      </w:r>
    </w:p>
    <w:p>
      <w:pPr>
        <w:ind w:firstLine="1200" w:firstLineChars="500"/>
      </w:pPr>
      <w:r>
        <w:t>W</w:t>
      </w:r>
      <w:r>
        <w:rPr>
          <w:rFonts w:hint="eastAsia"/>
          <w:vertAlign w:val="subscript"/>
        </w:rPr>
        <w:t>3</w:t>
      </w:r>
      <w:r>
        <w:t>——</w:t>
      </w:r>
      <w:r>
        <w:rPr>
          <w:rFonts w:hint="eastAsia"/>
          <w:lang w:eastAsia="zh-CN"/>
        </w:rPr>
        <w:t>建设效果</w:t>
      </w:r>
      <w:r>
        <w:t>评价权重；</w:t>
      </w:r>
    </w:p>
    <w:p>
      <w:pPr>
        <w:ind w:firstLine="1200" w:firstLineChars="500"/>
      </w:pPr>
      <w:r>
        <w:t>Q</w:t>
      </w:r>
      <w:r>
        <w:rPr>
          <w:rFonts w:hint="eastAsia"/>
          <w:vertAlign w:val="subscript"/>
        </w:rPr>
        <w:t>3</w:t>
      </w:r>
      <w:r>
        <w:t>—</w:t>
      </w:r>
      <w:r>
        <w:rPr>
          <w:rFonts w:hint="eastAsia"/>
          <w:lang w:eastAsia="zh-CN"/>
        </w:rPr>
        <w:t>建设效果</w:t>
      </w:r>
      <w:r>
        <w:t>评分项得分</w:t>
      </w:r>
      <w:r>
        <w:rPr>
          <w:rFonts w:hint="eastAsia"/>
        </w:rPr>
        <w:t>；</w:t>
      </w:r>
    </w:p>
    <w:p>
      <w:pPr>
        <w:ind w:firstLine="1200" w:firstLineChars="500"/>
        <w:rPr>
          <w:rFonts w:hint="eastAsia"/>
        </w:rPr>
      </w:pPr>
      <w:r>
        <w:t>Q</w:t>
      </w:r>
      <w:r>
        <w:rPr>
          <w:rFonts w:hint="eastAsia"/>
          <w:vertAlign w:val="subscript"/>
        </w:rPr>
        <w:t>4</w:t>
      </w:r>
      <w:r>
        <w:t>——</w:t>
      </w:r>
      <w:r>
        <w:rPr>
          <w:rFonts w:hint="eastAsia"/>
        </w:rPr>
        <w:t>加分项的得分。</w:t>
      </w:r>
    </w:p>
    <w:p>
      <w:pPr>
        <w:pStyle w:val="13"/>
      </w:pPr>
      <w:r>
        <w:t>表</w:t>
      </w:r>
      <w:r>
        <w:rPr>
          <w:rFonts w:hint="eastAsia"/>
          <w:lang w:val="en-US" w:eastAsia="zh-CN"/>
        </w:rPr>
        <w:t>4</w:t>
      </w:r>
      <w:r>
        <w:t>.</w:t>
      </w:r>
      <w:r>
        <w:rPr>
          <w:rFonts w:hint="eastAsia"/>
          <w:lang w:val="en-US" w:eastAsia="zh-CN"/>
        </w:rPr>
        <w:t>0.6</w:t>
      </w:r>
      <w:r>
        <w:t>海绵城市建设项目阶段评价指标权重</w:t>
      </w:r>
    </w:p>
    <w:tbl>
      <w:tblPr>
        <w:tblStyle w:val="6"/>
        <w:tblW w:w="4998" w:type="pct"/>
        <w:jc w:val="center"/>
        <w:tblLayout w:type="autofit"/>
        <w:tblCellMar>
          <w:top w:w="0" w:type="dxa"/>
          <w:left w:w="10" w:type="dxa"/>
          <w:bottom w:w="0" w:type="dxa"/>
          <w:right w:w="10" w:type="dxa"/>
        </w:tblCellMar>
      </w:tblPr>
      <w:tblGrid>
        <w:gridCol w:w="2080"/>
        <w:gridCol w:w="2081"/>
        <w:gridCol w:w="2081"/>
        <w:gridCol w:w="2081"/>
      </w:tblGrid>
      <w:tr>
        <w:trPr>
          <w:trHeight w:val="454" w:hRule="exact"/>
          <w:jc w:val="center"/>
        </w:trPr>
        <w:tc>
          <w:tcPr>
            <w:tcW w:w="1250" w:type="pct"/>
            <w:tcBorders>
              <w:top w:val="single" w:color="auto" w:sz="4" w:space="0"/>
              <w:left w:val="single" w:color="auto" w:sz="4" w:space="0"/>
            </w:tcBorders>
            <w:shd w:val="clear" w:color="auto" w:fill="auto"/>
            <w:vAlign w:val="center"/>
          </w:tcPr>
          <w:p>
            <w:pPr>
              <w:pStyle w:val="14"/>
            </w:pPr>
            <w:r>
              <w:t>名称</w:t>
            </w:r>
          </w:p>
        </w:tc>
        <w:tc>
          <w:tcPr>
            <w:tcW w:w="1250" w:type="pct"/>
            <w:tcBorders>
              <w:top w:val="single" w:color="auto" w:sz="4" w:space="0"/>
              <w:left w:val="single" w:color="auto" w:sz="4" w:space="0"/>
            </w:tcBorders>
            <w:shd w:val="clear" w:color="auto" w:fill="auto"/>
            <w:vAlign w:val="center"/>
          </w:tcPr>
          <w:p>
            <w:pPr>
              <w:pStyle w:val="14"/>
            </w:pPr>
            <w:r>
              <w:t>专项设计</w:t>
            </w:r>
            <w:r>
              <w:rPr>
                <w:rFonts w:hint="eastAsia"/>
                <w:lang w:eastAsia="en-US"/>
              </w:rPr>
              <w:t>W</w:t>
            </w:r>
            <w:r>
              <w:rPr>
                <w:rFonts w:hint="eastAsia"/>
                <w:vertAlign w:val="subscript"/>
                <w:lang w:eastAsia="en-US"/>
              </w:rPr>
              <w:t>1</w:t>
            </w:r>
          </w:p>
        </w:tc>
        <w:tc>
          <w:tcPr>
            <w:tcW w:w="1250" w:type="pct"/>
            <w:tcBorders>
              <w:top w:val="single" w:color="auto" w:sz="4" w:space="0"/>
              <w:left w:val="single" w:color="auto" w:sz="4" w:space="0"/>
            </w:tcBorders>
            <w:shd w:val="clear" w:color="auto" w:fill="auto"/>
            <w:vAlign w:val="center"/>
          </w:tcPr>
          <w:p>
            <w:pPr>
              <w:pStyle w:val="14"/>
            </w:pPr>
            <w:r>
              <w:t>施工建设</w:t>
            </w:r>
            <w:r>
              <w:rPr>
                <w:rFonts w:hint="eastAsia"/>
                <w:lang w:eastAsia="en-US"/>
              </w:rPr>
              <w:t>W</w:t>
            </w:r>
            <w:r>
              <w:rPr>
                <w:rFonts w:hint="eastAsia"/>
                <w:vertAlign w:val="subscript"/>
              </w:rPr>
              <w:t>2</w:t>
            </w:r>
          </w:p>
        </w:tc>
        <w:tc>
          <w:tcPr>
            <w:tcW w:w="1250" w:type="pct"/>
            <w:tcBorders>
              <w:top w:val="single" w:color="auto" w:sz="4" w:space="0"/>
              <w:left w:val="single" w:color="auto" w:sz="4" w:space="0"/>
              <w:right w:val="single" w:color="auto" w:sz="4" w:space="0"/>
            </w:tcBorders>
            <w:shd w:val="clear" w:color="auto" w:fill="auto"/>
            <w:vAlign w:val="center"/>
          </w:tcPr>
          <w:p>
            <w:pPr>
              <w:pStyle w:val="14"/>
            </w:pPr>
            <w:r>
              <w:rPr>
                <w:rFonts w:hint="eastAsia"/>
                <w:lang w:eastAsia="zh-CN"/>
              </w:rPr>
              <w:t>建设效果</w:t>
            </w:r>
            <w:r>
              <w:rPr>
                <w:rFonts w:hint="eastAsia"/>
                <w:lang w:eastAsia="en-US"/>
              </w:rPr>
              <w:t>W</w:t>
            </w:r>
            <w:r>
              <w:rPr>
                <w:rFonts w:hint="eastAsia"/>
                <w:vertAlign w:val="subscript"/>
              </w:rPr>
              <w:t>3</w:t>
            </w:r>
          </w:p>
        </w:tc>
      </w:tr>
      <w:tr>
        <w:trPr>
          <w:trHeight w:val="454" w:hRule="exact"/>
          <w:jc w:val="center"/>
        </w:trPr>
        <w:tc>
          <w:tcPr>
            <w:tcW w:w="1250" w:type="pct"/>
            <w:tcBorders>
              <w:top w:val="single" w:color="auto" w:sz="4" w:space="0"/>
              <w:left w:val="single" w:color="auto" w:sz="4" w:space="0"/>
              <w:bottom w:val="single" w:color="auto" w:sz="4" w:space="0"/>
            </w:tcBorders>
            <w:shd w:val="clear" w:color="auto" w:fill="auto"/>
            <w:vAlign w:val="center"/>
          </w:tcPr>
          <w:p>
            <w:pPr>
              <w:pStyle w:val="14"/>
            </w:pPr>
            <w:r>
              <w:t>权重</w:t>
            </w:r>
          </w:p>
        </w:tc>
        <w:tc>
          <w:tcPr>
            <w:tcW w:w="1250" w:type="pct"/>
            <w:tcBorders>
              <w:top w:val="single" w:color="auto" w:sz="4" w:space="0"/>
              <w:left w:val="single" w:color="auto" w:sz="4" w:space="0"/>
              <w:bottom w:val="single" w:color="auto" w:sz="4" w:space="0"/>
            </w:tcBorders>
            <w:shd w:val="clear" w:color="auto" w:fill="auto"/>
            <w:vAlign w:val="center"/>
          </w:tcPr>
          <w:p>
            <w:pPr>
              <w:pStyle w:val="14"/>
            </w:pPr>
            <w:r>
              <w:rPr>
                <w:lang w:eastAsia="en-US"/>
              </w:rPr>
              <w:t>0.</w:t>
            </w:r>
            <w:r>
              <w:rPr>
                <w:rFonts w:hint="eastAsia"/>
              </w:rPr>
              <w:t>4</w:t>
            </w:r>
          </w:p>
        </w:tc>
        <w:tc>
          <w:tcPr>
            <w:tcW w:w="1250" w:type="pct"/>
            <w:tcBorders>
              <w:top w:val="single" w:color="auto" w:sz="4" w:space="0"/>
              <w:left w:val="single" w:color="auto" w:sz="4" w:space="0"/>
              <w:bottom w:val="single" w:color="auto" w:sz="4" w:space="0"/>
            </w:tcBorders>
            <w:shd w:val="clear" w:color="auto" w:fill="auto"/>
            <w:vAlign w:val="center"/>
          </w:tcPr>
          <w:p>
            <w:pPr>
              <w:pStyle w:val="14"/>
            </w:pPr>
            <w:r>
              <w:rPr>
                <w:lang w:eastAsia="en-US"/>
              </w:rPr>
              <w:t>0.2</w:t>
            </w:r>
          </w:p>
        </w:tc>
        <w:tc>
          <w:tcPr>
            <w:tcW w:w="125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4"/>
            </w:pPr>
            <w:r>
              <w:rPr>
                <w:rFonts w:hint="eastAsia"/>
              </w:rPr>
              <w:t>0.4</w:t>
            </w:r>
          </w:p>
        </w:tc>
      </w:tr>
    </w:tbl>
    <w:p>
      <w:r>
        <w:rPr>
          <w:rFonts w:hint="eastAsia"/>
          <w:lang w:val="en-US" w:eastAsia="zh-CN"/>
        </w:rPr>
        <w:t>4.0.7</w:t>
      </w:r>
      <w:r>
        <w:t>海绵城市建设项目在专项设计、施工建设、</w:t>
      </w:r>
      <w:r>
        <w:rPr>
          <w:rFonts w:hint="eastAsia"/>
          <w:lang w:eastAsia="zh-CN"/>
        </w:rPr>
        <w:t>建设效果</w:t>
      </w:r>
      <w:r>
        <w:t>各阶段的评分项得分应按式</w:t>
      </w:r>
      <w:r>
        <w:rPr>
          <w:rFonts w:hint="eastAsia"/>
          <w:lang w:val="en-US" w:eastAsia="zh-CN"/>
        </w:rPr>
        <w:t>4.7</w:t>
      </w:r>
      <w:r>
        <w:t>计算：</w:t>
      </w:r>
    </w:p>
    <w:p>
      <w:pPr>
        <w:jc w:val="right"/>
        <w:rPr>
          <w:rFonts w:hint="eastAsia"/>
        </w:rPr>
      </w:pPr>
      <m:oMath>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ascii="Cambria Math" w:hAnsi="Cambria Math"/>
              </w:rPr>
              <m:t>i</m:t>
            </m:r>
            <m:ctrlPr>
              <w:rPr>
                <w:rFonts w:ascii="Cambria Math" w:hAnsi="Cambria Math"/>
              </w:rPr>
            </m:ctrlPr>
          </m:sub>
        </m:sSub>
        <m:r>
          <m:rPr>
            <m:sty m:val="p"/>
          </m:rPr>
          <w:rPr>
            <w:rFonts w:ascii="Cambria Math" w:hAnsi="Cambria Math"/>
          </w:rPr>
          <m:t>=100</m:t>
        </m:r>
        <m:f>
          <m:fPr>
            <m:ctrlPr>
              <w:rPr>
                <w:rFonts w:ascii="Cambria Math" w:hAnsi="Cambria Math"/>
              </w:rPr>
            </m:ctrlPr>
          </m:fPr>
          <m:num>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ascii="Cambria Math" w:hAnsi="Cambria Math"/>
                  </w:rPr>
                  <m:t>f</m:t>
                </m:r>
                <m:ctrlPr>
                  <w:rPr>
                    <w:rFonts w:ascii="Cambria Math" w:hAnsi="Cambria Math"/>
                  </w:rPr>
                </m:ctrlPr>
              </m:sub>
            </m:sSub>
            <m:ctrlPr>
              <w:rPr>
                <w:rFonts w:ascii="Cambria Math" w:hAnsi="Cambria Math"/>
              </w:rPr>
            </m:ctrlPr>
          </m:num>
          <m:den>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ascii="Cambria Math" w:hAnsi="Cambria Math"/>
                  </w:rPr>
                  <m:t>p</m:t>
                </m:r>
                <m:ctrlPr>
                  <w:rPr>
                    <w:rFonts w:ascii="Cambria Math" w:hAnsi="Cambria Math"/>
                  </w:rPr>
                </m:ctrlPr>
              </m:sub>
            </m:sSub>
            <m:ctrlPr>
              <w:rPr>
                <w:rFonts w:ascii="Cambria Math" w:hAnsi="Cambria Math"/>
              </w:rPr>
            </m:ctrlPr>
          </m:den>
        </m:f>
      </m:oMath>
      <w:r>
        <w:rPr>
          <w:rFonts w:hint="eastAsia"/>
        </w:rPr>
        <w:t xml:space="preserve">                          </w:t>
      </w:r>
      <w:r>
        <w:rPr>
          <w:rFonts w:hint="eastAsia"/>
          <w:lang w:eastAsia="zh-CN"/>
        </w:rPr>
        <w:t>（</w:t>
      </w:r>
      <w:r>
        <w:rPr>
          <w:rFonts w:hint="eastAsia"/>
          <w:lang w:val="en-US" w:eastAsia="zh-CN"/>
        </w:rPr>
        <w:t>4.0.7</w:t>
      </w:r>
      <w:r>
        <w:rPr>
          <w:rFonts w:hint="eastAsia"/>
          <w:lang w:eastAsia="zh-CN"/>
        </w:rPr>
        <w:t>）</w:t>
      </w:r>
    </w:p>
    <w:p>
      <w:pPr>
        <w:rPr>
          <w:rFonts w:hint="eastAsia"/>
        </w:rPr>
      </w:pPr>
      <w:r>
        <w:t>式中</w:t>
      </w:r>
      <w:r>
        <w:rPr>
          <w:rFonts w:hint="eastAsia"/>
        </w:rPr>
        <w:t>：</w:t>
      </w:r>
      <w:r>
        <w:t>Q</w:t>
      </w:r>
      <w:r>
        <w:rPr>
          <w:rFonts w:hint="eastAsia"/>
          <w:vertAlign w:val="subscript"/>
        </w:rPr>
        <w:t>i</w:t>
      </w:r>
      <w:r>
        <w:t>——某阶段评分项得分；</w:t>
      </w:r>
    </w:p>
    <w:p>
      <w:pPr>
        <w:rPr>
          <w:rFonts w:hint="eastAsia"/>
        </w:rPr>
      </w:pPr>
      <w:r>
        <w:rPr>
          <w:rFonts w:hint="eastAsia"/>
        </w:rPr>
        <w:t>Q</w:t>
      </w:r>
      <w:r>
        <w:rPr>
          <w:rFonts w:hint="eastAsia"/>
          <w:vertAlign w:val="subscript"/>
        </w:rPr>
        <w:t>f</w:t>
      </w:r>
      <w:r>
        <w:t>——某阶段适用参评的评分项实际得分；</w:t>
      </w:r>
    </w:p>
    <w:p>
      <w:pPr>
        <w:rPr>
          <w:rFonts w:hint="eastAsia"/>
          <w:lang w:eastAsia="zh-CN"/>
        </w:rPr>
      </w:pPr>
      <w:r>
        <w:t>Q</w:t>
      </w:r>
      <w:r>
        <w:rPr>
          <w:vertAlign w:val="subscript"/>
        </w:rPr>
        <w:t>p</w:t>
      </w:r>
      <w:r>
        <w:t>——某阶段适用参评的评分项所对应的规定分值的总和</w:t>
      </w:r>
      <w:r>
        <w:rPr>
          <w:rFonts w:hint="eastAsia"/>
          <w:lang w:eastAsia="zh-CN"/>
        </w:rPr>
        <w:t>。</w:t>
      </w:r>
    </w:p>
    <w:p>
      <w:r>
        <w:rPr>
          <w:rFonts w:hint="eastAsia"/>
          <w:lang w:val="en-US" w:eastAsia="zh-CN"/>
        </w:rPr>
        <w:t>4.0.8</w:t>
      </w:r>
      <w:r>
        <w:t>海绵城市建设项目评价结果应划分3个等级。控制项全部满足要求，评分项总得分达到60</w:t>
      </w:r>
      <w:r>
        <w:rPr>
          <w:rFonts w:hint="eastAsia"/>
        </w:rPr>
        <w:t>，</w:t>
      </w:r>
      <w:r>
        <w:t>75</w:t>
      </w:r>
      <w:r>
        <w:rPr>
          <w:rFonts w:hint="eastAsia"/>
        </w:rPr>
        <w:t>，</w:t>
      </w:r>
      <w:r>
        <w:t>90分且每阶段的评分项得分不低于</w:t>
      </w:r>
      <w:r>
        <w:rPr>
          <w:rFonts w:hint="eastAsia"/>
        </w:rPr>
        <w:t>50</w:t>
      </w:r>
      <w:r>
        <w:t>分时，海绵城市建设项目评价等级分别为一星级、二星级、三星级。</w:t>
      </w:r>
    </w:p>
    <w:p>
      <w:r>
        <w:br w:type="page"/>
      </w:r>
    </w:p>
    <w:p>
      <w:pPr>
        <w:pStyle w:val="2"/>
      </w:pPr>
      <w:bookmarkStart w:id="18" w:name="_Toc164442239"/>
      <w:bookmarkStart w:id="19" w:name="_Toc18560"/>
      <w:bookmarkStart w:id="20" w:name="_Toc2902"/>
      <w:r>
        <w:rPr>
          <w:rFonts w:hint="eastAsia"/>
          <w:lang w:val="en-US" w:eastAsia="zh-CN"/>
        </w:rPr>
        <w:t>5</w:t>
      </w:r>
      <w:r>
        <w:rPr>
          <w:rFonts w:hint="eastAsia"/>
        </w:rPr>
        <w:t xml:space="preserve"> 专项设计评价</w:t>
      </w:r>
      <w:bookmarkEnd w:id="18"/>
      <w:bookmarkEnd w:id="19"/>
      <w:bookmarkEnd w:id="20"/>
    </w:p>
    <w:p>
      <w:pPr>
        <w:pStyle w:val="3"/>
      </w:pPr>
      <w:bookmarkStart w:id="21" w:name="_Toc164442240"/>
      <w:bookmarkStart w:id="22" w:name="_Toc3497"/>
      <w:bookmarkStart w:id="23" w:name="_Toc5629"/>
      <w:r>
        <w:rPr>
          <w:rFonts w:hint="eastAsia"/>
          <w:lang w:val="en-US" w:eastAsia="zh-CN"/>
        </w:rPr>
        <w:t>5</w:t>
      </w:r>
      <w:r>
        <w:t>.1</w:t>
      </w:r>
      <w:r>
        <w:rPr>
          <w:rFonts w:hint="eastAsia"/>
        </w:rPr>
        <w:t xml:space="preserve"> </w:t>
      </w:r>
      <w:r>
        <w:t>控制项</w:t>
      </w:r>
      <w:bookmarkEnd w:id="21"/>
      <w:bookmarkEnd w:id="22"/>
      <w:bookmarkEnd w:id="23"/>
    </w:p>
    <w:p>
      <w:r>
        <w:rPr>
          <w:rFonts w:hint="eastAsia"/>
          <w:lang w:val="en-US" w:eastAsia="zh-CN"/>
        </w:rPr>
        <w:t>5</w:t>
      </w:r>
      <w:r>
        <w:t>.1.1</w:t>
      </w:r>
      <w:r>
        <w:rPr>
          <w:rFonts w:hint="eastAsia"/>
        </w:rPr>
        <w:t>海绵城市建设项目专项设计应符合国家、省（市）法律、法规的规定及相关标准的要求。</w:t>
      </w:r>
    </w:p>
    <w:p>
      <w:pPr>
        <w:rPr>
          <w:rFonts w:hint="eastAsia"/>
          <w:lang w:val="en-US" w:eastAsia="zh-CN"/>
        </w:rPr>
      </w:pPr>
      <w:r>
        <w:rPr>
          <w:rFonts w:hint="eastAsia"/>
          <w:lang w:val="en-US" w:eastAsia="zh-CN"/>
        </w:rPr>
        <w:t>5</w:t>
      </w:r>
      <w:r>
        <w:rPr>
          <w:rFonts w:hint="eastAsia"/>
        </w:rPr>
        <w:t>.1.2</w:t>
      </w:r>
      <w:r>
        <w:rPr>
          <w:rFonts w:hint="eastAsia"/>
          <w:lang w:val="en-US" w:eastAsia="zh-CN"/>
        </w:rPr>
        <w:t>专项设计应</w:t>
      </w:r>
      <w:r>
        <w:rPr>
          <w:rFonts w:hint="eastAsia"/>
        </w:rPr>
        <w:t>从</w:t>
      </w:r>
      <w:r>
        <w:rPr>
          <w:rFonts w:hint="eastAsia"/>
          <w:lang w:val="en-US" w:eastAsia="zh-CN"/>
        </w:rPr>
        <w:t>区域流域、</w:t>
      </w:r>
      <w:r>
        <w:rPr>
          <w:rFonts w:hint="eastAsia"/>
        </w:rPr>
        <w:t>城市、片区等角度</w:t>
      </w:r>
      <w:r>
        <w:rPr>
          <w:rFonts w:hint="eastAsia"/>
          <w:lang w:val="en-US" w:eastAsia="zh-CN"/>
        </w:rPr>
        <w:t>分析</w:t>
      </w:r>
      <w:r>
        <w:rPr>
          <w:rFonts w:hint="eastAsia"/>
        </w:rPr>
        <w:t>项目的贡献</w:t>
      </w:r>
      <w:r>
        <w:rPr>
          <w:rFonts w:hint="eastAsia"/>
          <w:lang w:val="en-US" w:eastAsia="zh-CN"/>
        </w:rPr>
        <w:t>度。</w:t>
      </w:r>
    </w:p>
    <w:p>
      <w:pPr>
        <w:rPr>
          <w:rFonts w:hint="eastAsia"/>
        </w:rPr>
      </w:pPr>
      <w:r>
        <w:rPr>
          <w:rFonts w:hint="eastAsia"/>
          <w:lang w:val="en-US" w:eastAsia="zh-CN"/>
        </w:rPr>
        <w:t>5.1.3</w:t>
      </w:r>
      <w:r>
        <w:rPr>
          <w:rFonts w:hint="eastAsia"/>
        </w:rPr>
        <w:t>专项设计不得影响场地基本功能、环境卫生和居民正常生活，不得引起地质灾害及损害建筑物、构筑物，不得引起安全隐患，不得污染土壤及地下水。</w:t>
      </w:r>
    </w:p>
    <w:p>
      <w:pPr>
        <w:rPr>
          <w:rFonts w:hint="eastAsia"/>
        </w:rPr>
      </w:pPr>
      <w:r>
        <w:rPr>
          <w:rFonts w:hint="eastAsia"/>
          <w:lang w:val="en-US" w:eastAsia="zh-CN"/>
        </w:rPr>
        <w:t>5</w:t>
      </w:r>
      <w:r>
        <w:rPr>
          <w:rFonts w:hint="eastAsia"/>
        </w:rPr>
        <w:t>.1.</w:t>
      </w:r>
      <w:r>
        <w:rPr>
          <w:rFonts w:hint="eastAsia"/>
          <w:lang w:val="en-US" w:eastAsia="zh-CN"/>
        </w:rPr>
        <w:t>4</w:t>
      </w:r>
      <w:r>
        <w:rPr>
          <w:rFonts w:hint="eastAsia"/>
        </w:rPr>
        <w:t>雨水</w:t>
      </w:r>
      <w:r>
        <w:rPr>
          <w:rFonts w:hint="eastAsia"/>
          <w:lang w:val="en-US" w:eastAsia="zh-CN"/>
        </w:rPr>
        <w:t>利</w:t>
      </w:r>
      <w:r>
        <w:rPr>
          <w:rFonts w:hint="eastAsia"/>
        </w:rPr>
        <w:t>用应设置独立管道系统，不</w:t>
      </w:r>
      <w:r>
        <w:rPr>
          <w:rFonts w:hint="eastAsia"/>
          <w:lang w:val="en-US" w:eastAsia="zh-CN"/>
        </w:rPr>
        <w:t>得</w:t>
      </w:r>
      <w:r>
        <w:rPr>
          <w:rFonts w:hint="eastAsia"/>
        </w:rPr>
        <w:t>与生活饮用水管道混接。</w:t>
      </w:r>
    </w:p>
    <w:p>
      <w:r>
        <w:rPr>
          <w:rFonts w:hint="eastAsia"/>
          <w:lang w:val="en-US" w:eastAsia="zh-CN"/>
        </w:rPr>
        <w:t>5</w:t>
      </w:r>
      <w:r>
        <w:t>.1.</w:t>
      </w:r>
      <w:r>
        <w:rPr>
          <w:rFonts w:hint="eastAsia"/>
          <w:lang w:val="en-US" w:eastAsia="zh-CN"/>
        </w:rPr>
        <w:t>5</w:t>
      </w:r>
      <w:r>
        <w:rPr>
          <w:rFonts w:hint="eastAsia"/>
        </w:rPr>
        <w:t xml:space="preserve">市政雨水管渠系统应满足海绵城市专项规划或相关规划批复中的设计重现期要求，并且与绿色设施有效结合。 </w:t>
      </w:r>
    </w:p>
    <w:p>
      <w:r>
        <w:rPr>
          <w:rFonts w:hint="eastAsia"/>
          <w:lang w:val="en-US" w:eastAsia="zh-CN"/>
        </w:rPr>
        <w:t>5</w:t>
      </w:r>
      <w:r>
        <w:t>.</w:t>
      </w:r>
      <w:r>
        <w:rPr>
          <w:rFonts w:hint="eastAsia"/>
        </w:rPr>
        <w:t>1</w:t>
      </w:r>
      <w:r>
        <w:t>.</w:t>
      </w:r>
      <w:r>
        <w:rPr>
          <w:rFonts w:hint="eastAsia"/>
          <w:lang w:val="en-US" w:eastAsia="zh-CN"/>
        </w:rPr>
        <w:t>6</w:t>
      </w:r>
      <w:r>
        <w:t>道路及广场类项</w:t>
      </w:r>
      <w:r>
        <w:rPr>
          <w:rFonts w:hint="eastAsia"/>
        </w:rPr>
        <w:t>目</w:t>
      </w:r>
      <w:r>
        <w:rPr>
          <w:rFonts w:hint="eastAsia"/>
          <w:lang w:val="en-US" w:eastAsia="zh-CN"/>
        </w:rPr>
        <w:t>海绵城市设施</w:t>
      </w:r>
      <w:r>
        <w:rPr>
          <w:rFonts w:hint="eastAsia"/>
        </w:rPr>
        <w:t>不得对道路路面及路基、市政管线基础的强度和稳定性造成破坏。</w:t>
      </w:r>
    </w:p>
    <w:p>
      <w:pPr>
        <w:rPr>
          <w:rFonts w:hint="eastAsia"/>
        </w:rPr>
      </w:pPr>
      <w:r>
        <w:rPr>
          <w:rFonts w:hint="eastAsia"/>
        </w:rPr>
        <w:t>5.1.7场地内存在内涝风险的，应有可靠的内涝整治措施，应通过合理的竖向设计消除内涝</w:t>
      </w:r>
      <w:r>
        <w:rPr>
          <w:rFonts w:hint="eastAsia"/>
          <w:lang w:val="en-US" w:eastAsia="zh-CN"/>
        </w:rPr>
        <w:t>风险</w:t>
      </w:r>
      <w:r>
        <w:rPr>
          <w:rFonts w:hint="eastAsia"/>
        </w:rPr>
        <w:t>，并设有超内涝标准降雨应急措施。</w:t>
      </w:r>
    </w:p>
    <w:p>
      <w:pPr>
        <w:rPr>
          <w:rFonts w:hint="eastAsia"/>
        </w:rPr>
      </w:pPr>
      <w:r>
        <w:rPr>
          <w:rFonts w:hint="eastAsia"/>
          <w:lang w:val="en-US" w:eastAsia="zh-CN"/>
        </w:rPr>
        <w:t>5</w:t>
      </w:r>
      <w:r>
        <w:rPr>
          <w:rFonts w:hint="eastAsia"/>
        </w:rPr>
        <w:t>.1.</w:t>
      </w:r>
      <w:r>
        <w:rPr>
          <w:rFonts w:hint="eastAsia"/>
          <w:lang w:val="en-US" w:eastAsia="zh-CN"/>
        </w:rPr>
        <w:t>8</w:t>
      </w:r>
      <w:r>
        <w:rPr>
          <w:rFonts w:hint="eastAsia"/>
        </w:rPr>
        <w:t>场地内污染区应有防止雨水下渗污染措施，污染区雨水应收集处理达标后排放。</w:t>
      </w:r>
    </w:p>
    <w:p>
      <w:pPr>
        <w:rPr>
          <w:rFonts w:hint="eastAsia"/>
        </w:rPr>
      </w:pPr>
      <w:r>
        <w:rPr>
          <w:rFonts w:hint="eastAsia"/>
          <w:lang w:val="en-US" w:eastAsia="zh-CN"/>
        </w:rPr>
        <w:t>5</w:t>
      </w:r>
      <w:r>
        <w:rPr>
          <w:rFonts w:hint="eastAsia"/>
        </w:rPr>
        <w:t>.1</w:t>
      </w:r>
      <w:r>
        <w:t>.</w:t>
      </w:r>
      <w:r>
        <w:rPr>
          <w:rFonts w:hint="eastAsia"/>
          <w:lang w:val="en-US" w:eastAsia="zh-CN"/>
        </w:rPr>
        <w:t>9</w:t>
      </w:r>
      <w:r>
        <w:rPr>
          <w:rFonts w:hint="eastAsia"/>
        </w:rPr>
        <w:t>专项设计不得采用国家及山西省明令禁止、限制使用的工艺和技术。</w:t>
      </w:r>
    </w:p>
    <w:p>
      <w:r>
        <w:rPr>
          <w:rFonts w:hint="eastAsia"/>
          <w:lang w:val="en-US" w:eastAsia="zh-CN"/>
        </w:rPr>
        <w:t>5</w:t>
      </w:r>
      <w:r>
        <w:t>.1.</w:t>
      </w:r>
      <w:r>
        <w:rPr>
          <w:rFonts w:hint="eastAsia"/>
          <w:lang w:val="en-US" w:eastAsia="zh-CN"/>
        </w:rPr>
        <w:t>10</w:t>
      </w:r>
      <w:r>
        <w:t>专项设计在不同阶段的设计</w:t>
      </w:r>
      <w:r>
        <w:rPr>
          <w:rFonts w:hint="eastAsia"/>
        </w:rPr>
        <w:t>文件</w:t>
      </w:r>
      <w:r>
        <w:t>应符合国家、</w:t>
      </w:r>
      <w:r>
        <w:rPr>
          <w:rFonts w:hint="eastAsia"/>
        </w:rPr>
        <w:t>山西省海绵城市</w:t>
      </w:r>
      <w:r>
        <w:t>设计文件编制规定的深度要求，后一阶段的设计应与前一阶段设计在建设目标、竖向设计、汇水分区、径流组织和设施系统布局等方面具有一致性。</w:t>
      </w:r>
    </w:p>
    <w:p>
      <w:r>
        <w:rPr>
          <w:rFonts w:hint="eastAsia"/>
          <w:lang w:val="en-US" w:eastAsia="zh-CN"/>
        </w:rPr>
        <w:t>5</w:t>
      </w:r>
      <w:r>
        <w:t>.1.</w:t>
      </w:r>
      <w:r>
        <w:rPr>
          <w:rFonts w:hint="eastAsia"/>
        </w:rPr>
        <w:t>1</w:t>
      </w:r>
      <w:r>
        <w:rPr>
          <w:rFonts w:hint="eastAsia"/>
          <w:lang w:val="en-US" w:eastAsia="zh-CN"/>
        </w:rPr>
        <w:t>1</w:t>
      </w:r>
      <w:r>
        <w:t>专项设计应对雨水控制指标进行计算校核，计算过程完整、正确。</w:t>
      </w:r>
    </w:p>
    <w:p>
      <w:r>
        <w:br w:type="page"/>
      </w:r>
    </w:p>
    <w:p>
      <w:pPr>
        <w:pStyle w:val="3"/>
      </w:pPr>
      <w:bookmarkStart w:id="24" w:name="_Toc30168"/>
      <w:bookmarkStart w:id="25" w:name="_Toc164442241"/>
      <w:r>
        <w:rPr>
          <w:rFonts w:hint="eastAsia"/>
          <w:lang w:val="en-US" w:eastAsia="zh-CN"/>
        </w:rPr>
        <w:t>5</w:t>
      </w:r>
      <w:r>
        <w:t>.</w:t>
      </w:r>
      <w:r>
        <w:rPr>
          <w:rFonts w:hint="eastAsia"/>
        </w:rPr>
        <w:t>2 评分</w:t>
      </w:r>
      <w:r>
        <w:t>项</w:t>
      </w:r>
      <w:bookmarkEnd w:id="24"/>
      <w:bookmarkEnd w:id="25"/>
    </w:p>
    <w:p>
      <w:r>
        <w:rPr>
          <w:rFonts w:hint="eastAsia"/>
          <w:lang w:val="en-US" w:eastAsia="zh-CN"/>
        </w:rPr>
        <w:t>5</w:t>
      </w:r>
      <w:r>
        <w:t>.2.1专项设计评分项的评价标准和分值应依据评价对象类型</w:t>
      </w:r>
      <w:r>
        <w:rPr>
          <w:rFonts w:hint="eastAsia"/>
        </w:rPr>
        <w:t>分别</w:t>
      </w:r>
      <w:r>
        <w:t>按表</w:t>
      </w:r>
      <w:r>
        <w:rPr>
          <w:rFonts w:hint="eastAsia"/>
          <w:lang w:val="en-US" w:eastAsia="zh-CN"/>
        </w:rPr>
        <w:t>5</w:t>
      </w:r>
      <w:r>
        <w:t>.2.1</w:t>
      </w:r>
      <w:r>
        <w:rPr>
          <w:rFonts w:hint="eastAsia"/>
        </w:rPr>
        <w:t>-1、</w:t>
      </w:r>
      <w:r>
        <w:rPr>
          <w:rFonts w:hint="eastAsia"/>
          <w:lang w:val="en-US" w:eastAsia="zh-CN"/>
        </w:rPr>
        <w:t>5</w:t>
      </w:r>
      <w:r>
        <w:t>.2.1</w:t>
      </w:r>
      <w:r>
        <w:rPr>
          <w:rFonts w:hint="eastAsia"/>
        </w:rPr>
        <w:t>-2、</w:t>
      </w:r>
      <w:r>
        <w:rPr>
          <w:rFonts w:hint="eastAsia"/>
          <w:lang w:val="en-US" w:eastAsia="zh-CN"/>
        </w:rPr>
        <w:t>5</w:t>
      </w:r>
      <w:r>
        <w:t>.2.1</w:t>
      </w:r>
      <w:r>
        <w:rPr>
          <w:rFonts w:hint="eastAsia"/>
        </w:rPr>
        <w:t>-3</w:t>
      </w:r>
      <w:r>
        <w:t>的规定执行。</w:t>
      </w:r>
    </w:p>
    <w:p>
      <w:pPr>
        <w:pStyle w:val="13"/>
      </w:pPr>
      <w:r>
        <w:t>表</w:t>
      </w:r>
      <w:r>
        <w:rPr>
          <w:rFonts w:hint="eastAsia"/>
          <w:lang w:val="en-US" w:eastAsia="zh-CN"/>
        </w:rPr>
        <w:t>5</w:t>
      </w:r>
      <w:r>
        <w:t>.2</w:t>
      </w:r>
      <w:r>
        <w:rPr>
          <w:rFonts w:hint="eastAsia"/>
        </w:rPr>
        <w:t>.</w:t>
      </w:r>
      <w:r>
        <w:t>1</w:t>
      </w:r>
      <w:r>
        <w:rPr>
          <w:rFonts w:hint="eastAsia"/>
        </w:rPr>
        <w:t>-1</w:t>
      </w:r>
      <w:r>
        <w:t>建筑与小区专项设计评分项</w:t>
      </w:r>
    </w:p>
    <w:p>
      <w:pPr>
        <w:pStyle w:val="13"/>
      </w:pPr>
      <w:r>
        <w:rPr>
          <w:rFonts w:hint="eastAsia"/>
        </w:rPr>
        <w:t>Ⅰ建设目标达标性（</w:t>
      </w:r>
      <w:r>
        <w:rPr>
          <w:rFonts w:hint="eastAsia"/>
          <w:lang w:val="en-US" w:eastAsia="zh-CN"/>
        </w:rPr>
        <w:t>3</w:t>
      </w:r>
      <w:r>
        <w:rPr>
          <w:rFonts w:hint="eastAsia"/>
        </w:rPr>
        <w:t>0分）</w:t>
      </w:r>
    </w:p>
    <w:tbl>
      <w:tblPr>
        <w:tblStyle w:val="6"/>
        <w:tblW w:w="4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46"/>
        <w:gridCol w:w="1129"/>
        <w:gridCol w:w="5407"/>
        <w:gridCol w:w="56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33" w:type="pct"/>
            <w:vMerge w:val="restart"/>
            <w:shd w:val="clear" w:color="auto" w:fill="auto"/>
            <w:vAlign w:val="center"/>
          </w:tcPr>
          <w:p>
            <w:pPr>
              <w:pStyle w:val="14"/>
            </w:pPr>
            <w:r>
              <w:t>序号</w:t>
            </w:r>
          </w:p>
        </w:tc>
        <w:tc>
          <w:tcPr>
            <w:tcW w:w="3978" w:type="pct"/>
            <w:gridSpan w:val="2"/>
            <w:vMerge w:val="restart"/>
            <w:shd w:val="clear" w:color="auto" w:fill="auto"/>
            <w:vAlign w:val="center"/>
          </w:tcPr>
          <w:p>
            <w:pPr>
              <w:pStyle w:val="14"/>
            </w:pPr>
            <w:r>
              <w:t>评价标准</w:t>
            </w:r>
          </w:p>
        </w:tc>
        <w:tc>
          <w:tcPr>
            <w:tcW w:w="688" w:type="pct"/>
            <w:gridSpan w:val="2"/>
            <w:shd w:val="clear" w:color="auto" w:fill="auto"/>
            <w:vAlign w:val="center"/>
          </w:tcPr>
          <w:p>
            <w:pPr>
              <w:pStyle w:val="14"/>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exact"/>
          <w:tblHeader/>
          <w:jc w:val="center"/>
        </w:trPr>
        <w:tc>
          <w:tcPr>
            <w:tcW w:w="333" w:type="pct"/>
            <w:vMerge w:val="continue"/>
            <w:shd w:val="clear" w:color="auto" w:fill="auto"/>
            <w:vAlign w:val="center"/>
          </w:tcPr>
          <w:p>
            <w:pPr>
              <w:pStyle w:val="14"/>
            </w:pPr>
          </w:p>
        </w:tc>
        <w:tc>
          <w:tcPr>
            <w:tcW w:w="3978" w:type="pct"/>
            <w:gridSpan w:val="2"/>
            <w:vMerge w:val="continue"/>
            <w:shd w:val="clear" w:color="auto" w:fill="auto"/>
            <w:vAlign w:val="center"/>
          </w:tcPr>
          <w:p>
            <w:pPr>
              <w:pStyle w:val="14"/>
            </w:pPr>
          </w:p>
        </w:tc>
        <w:tc>
          <w:tcPr>
            <w:tcW w:w="343" w:type="pct"/>
            <w:shd w:val="clear" w:color="auto" w:fill="auto"/>
            <w:vAlign w:val="center"/>
          </w:tcPr>
          <w:p>
            <w:pPr>
              <w:pStyle w:val="14"/>
            </w:pPr>
            <w:r>
              <w:t>评分</w:t>
            </w:r>
          </w:p>
        </w:tc>
        <w:tc>
          <w:tcPr>
            <w:tcW w:w="345" w:type="pct"/>
            <w:shd w:val="clear" w:color="auto" w:fill="auto"/>
            <w:vAlign w:val="center"/>
          </w:tcPr>
          <w:p>
            <w:pPr>
              <w:pStyle w:val="14"/>
            </w:pPr>
            <w:r>
              <w:rPr>
                <w:rFonts w:hint="eastAsia"/>
                <w:lang w:val="en-US" w:eastAsia="zh-CN"/>
              </w:rPr>
              <w:t>最高得分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restart"/>
            <w:shd w:val="clear" w:color="auto" w:fill="auto"/>
            <w:vAlign w:val="center"/>
          </w:tcPr>
          <w:p>
            <w:pPr>
              <w:pStyle w:val="14"/>
            </w:pPr>
            <w:r>
              <w:rPr>
                <w:rFonts w:hint="eastAsia"/>
              </w:rPr>
              <w:t>1</w:t>
            </w:r>
          </w:p>
        </w:tc>
        <w:tc>
          <w:tcPr>
            <w:tcW w:w="687" w:type="pct"/>
            <w:vMerge w:val="restart"/>
            <w:shd w:val="clear" w:color="auto" w:fill="auto"/>
            <w:vAlign w:val="center"/>
          </w:tcPr>
          <w:p>
            <w:pPr>
              <w:pStyle w:val="14"/>
            </w:pPr>
            <w:r>
              <w:rPr>
                <w:rFonts w:hint="eastAsia"/>
              </w:rPr>
              <w:t>年径流总量控制率达标</w:t>
            </w:r>
          </w:p>
        </w:tc>
        <w:tc>
          <w:tcPr>
            <w:tcW w:w="3291" w:type="pct"/>
            <w:shd w:val="clear" w:color="auto" w:fill="auto"/>
            <w:vAlign w:val="center"/>
          </w:tcPr>
          <w:p>
            <w:pPr>
              <w:pStyle w:val="14"/>
              <w:rPr>
                <w:rFonts w:hint="default"/>
                <w:lang w:val="en-US" w:eastAsia="zh-CN"/>
              </w:rPr>
            </w:pPr>
            <w:r>
              <w:rPr>
                <w:rFonts w:hint="eastAsia"/>
                <w:lang w:val="en-US" w:eastAsia="zh-CN"/>
              </w:rPr>
              <w:t>新建项目不低于80%（工业厂房项目不低于70%）；改造项目不低于70%；自重湿陷性黄土场地不低于60%</w:t>
            </w:r>
          </w:p>
        </w:tc>
        <w:tc>
          <w:tcPr>
            <w:tcW w:w="343" w:type="pct"/>
            <w:shd w:val="clear" w:color="auto" w:fill="auto"/>
            <w:vAlign w:val="center"/>
          </w:tcPr>
          <w:p>
            <w:pPr>
              <w:pStyle w:val="14"/>
              <w:rPr>
                <w:rFonts w:hint="eastAsia" w:eastAsia="宋体"/>
                <w:lang w:val="en-US" w:eastAsia="zh-CN"/>
              </w:rPr>
            </w:pPr>
            <w:r>
              <w:rPr>
                <w:rFonts w:hint="eastAsia"/>
                <w:lang w:val="en-US" w:eastAsia="zh-CN"/>
              </w:rPr>
              <w:t>3</w:t>
            </w:r>
          </w:p>
        </w:tc>
        <w:tc>
          <w:tcPr>
            <w:tcW w:w="345" w:type="pct"/>
            <w:vMerge w:val="restart"/>
            <w:shd w:val="clear" w:color="auto" w:fill="auto"/>
            <w:vAlign w:val="center"/>
          </w:tcPr>
          <w:p>
            <w:pPr>
              <w:pStyle w:val="14"/>
              <w:ind w:firstLine="0" w:firstLineChars="0"/>
              <w:rPr>
                <w:rFonts w:ascii="Times New Roman" w:hAnsi="Times New Roman" w:eastAsia="宋体" w:cstheme="minorBidi"/>
                <w:kern w:val="2"/>
                <w:sz w:val="21"/>
                <w:szCs w:val="24"/>
                <w:lang w:val="en-US" w:eastAsia="zh-CN" w:bidi="ar-SA"/>
              </w:rPr>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rPr>
                <w:rFonts w:hint="eastAsia"/>
              </w:rPr>
            </w:pPr>
          </w:p>
        </w:tc>
        <w:tc>
          <w:tcPr>
            <w:tcW w:w="687" w:type="pct"/>
            <w:vMerge w:val="continue"/>
            <w:shd w:val="clear" w:color="auto" w:fill="auto"/>
            <w:vAlign w:val="center"/>
          </w:tcPr>
          <w:p>
            <w:pPr>
              <w:pStyle w:val="14"/>
              <w:rPr>
                <w:rFonts w:hint="eastAsia"/>
              </w:rPr>
            </w:pPr>
          </w:p>
        </w:tc>
        <w:tc>
          <w:tcPr>
            <w:tcW w:w="3291" w:type="pct"/>
            <w:shd w:val="clear" w:color="auto" w:fill="auto"/>
            <w:vAlign w:val="center"/>
          </w:tcPr>
          <w:p>
            <w:pPr>
              <w:pStyle w:val="14"/>
              <w:rPr>
                <w:rFonts w:hint="eastAsia"/>
                <w:lang w:val="en-US" w:eastAsia="zh-CN"/>
              </w:rPr>
            </w:pPr>
            <w:r>
              <w:rPr>
                <w:rFonts w:hint="eastAsia"/>
                <w:lang w:val="en-US" w:eastAsia="zh-CN"/>
              </w:rPr>
              <w:t>不低于海绵城市专项规划、海绵城市详细规划及海绵城市主管部门出台的控制指标文件的目标值</w:t>
            </w:r>
          </w:p>
        </w:tc>
        <w:tc>
          <w:tcPr>
            <w:tcW w:w="343" w:type="pct"/>
            <w:shd w:val="clear" w:color="auto" w:fill="auto"/>
            <w:vAlign w:val="center"/>
          </w:tcPr>
          <w:p>
            <w:pPr>
              <w:pStyle w:val="14"/>
              <w:rPr>
                <w:rFonts w:hint="eastAsia"/>
                <w:lang w:val="en-US" w:eastAsia="zh-CN"/>
              </w:rPr>
            </w:pPr>
            <w:r>
              <w:rPr>
                <w:rFonts w:hint="eastAsia"/>
                <w:lang w:val="en-US" w:eastAsia="zh-CN"/>
              </w:rPr>
              <w:t>5</w:t>
            </w:r>
          </w:p>
        </w:tc>
        <w:tc>
          <w:tcPr>
            <w:tcW w:w="345" w:type="pct"/>
            <w:vMerge w:val="continue"/>
            <w:shd w:val="clear" w:color="auto" w:fill="auto"/>
            <w:vAlign w:val="center"/>
          </w:tcPr>
          <w:p>
            <w:pPr>
              <w:pStyle w:val="14"/>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restart"/>
            <w:shd w:val="clear" w:color="auto" w:fill="auto"/>
            <w:vAlign w:val="center"/>
          </w:tcPr>
          <w:p>
            <w:pPr>
              <w:pStyle w:val="14"/>
            </w:pPr>
            <w:r>
              <w:rPr>
                <w:rFonts w:hint="eastAsia"/>
              </w:rPr>
              <w:t>2</w:t>
            </w:r>
          </w:p>
        </w:tc>
        <w:tc>
          <w:tcPr>
            <w:tcW w:w="687" w:type="pct"/>
            <w:vMerge w:val="restart"/>
            <w:shd w:val="clear" w:color="auto" w:fill="auto"/>
            <w:vAlign w:val="center"/>
          </w:tcPr>
          <w:p>
            <w:pPr>
              <w:pStyle w:val="14"/>
            </w:pPr>
            <w:r>
              <w:t>年径流污染物总量（以悬浮物SS计）削减率提高</w:t>
            </w:r>
          </w:p>
        </w:tc>
        <w:tc>
          <w:tcPr>
            <w:tcW w:w="3291" w:type="pct"/>
            <w:shd w:val="clear" w:color="auto" w:fill="auto"/>
            <w:vAlign w:val="center"/>
          </w:tcPr>
          <w:p>
            <w:pPr>
              <w:pStyle w:val="14"/>
              <w:rPr>
                <w:rFonts w:hint="eastAsia"/>
                <w:lang w:val="en-US" w:eastAsia="zh-CN"/>
              </w:rPr>
            </w:pPr>
            <w:r>
              <w:t>年径流污染物总量（以悬浮物SS计）削减率</w:t>
            </w:r>
            <w:r>
              <w:rPr>
                <w:rFonts w:hint="eastAsia"/>
                <w:lang w:val="en-US" w:eastAsia="zh-CN"/>
              </w:rPr>
              <w:t>≥40%</w:t>
            </w:r>
          </w:p>
        </w:tc>
        <w:tc>
          <w:tcPr>
            <w:tcW w:w="343" w:type="pct"/>
            <w:shd w:val="clear" w:color="auto" w:fill="auto"/>
            <w:vAlign w:val="center"/>
          </w:tcPr>
          <w:p>
            <w:pPr>
              <w:pStyle w:val="14"/>
              <w:rPr>
                <w:rFonts w:hint="eastAsia"/>
                <w:lang w:val="en-US" w:eastAsia="zh-CN"/>
              </w:rPr>
            </w:pPr>
            <w:r>
              <w:rPr>
                <w:rFonts w:hint="eastAsia"/>
                <w:lang w:val="en-US" w:eastAsia="zh-CN"/>
              </w:rPr>
              <w:t>1</w:t>
            </w:r>
          </w:p>
        </w:tc>
        <w:tc>
          <w:tcPr>
            <w:tcW w:w="345" w:type="pct"/>
            <w:vMerge w:val="restart"/>
            <w:shd w:val="clear" w:color="auto" w:fill="auto"/>
            <w:vAlign w:val="center"/>
          </w:tcPr>
          <w:p>
            <w:pPr>
              <w:pStyle w:val="14"/>
              <w:rPr>
                <w:rFonts w:hint="eastAsia"/>
                <w:lang w:val="en-US" w:eastAsia="zh-CN"/>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rPr>
                <w:rFonts w:hint="eastAsia"/>
              </w:rPr>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eastAsia"/>
                <w:lang w:val="en-US" w:eastAsia="zh-CN"/>
              </w:rPr>
            </w:pPr>
            <w:r>
              <w:rPr>
                <w:rFonts w:hint="eastAsia"/>
                <w:lang w:val="en-US" w:eastAsia="zh-CN"/>
              </w:rPr>
              <w:t>不低于海绵城市专项规划或现行国家标准《海绵城市建设评价标准》GB/T 51345规定目标值</w:t>
            </w:r>
          </w:p>
          <w:p>
            <w:pPr>
              <w:pStyle w:val="14"/>
              <w:rPr>
                <w:rFonts w:hint="eastAsia"/>
                <w:lang w:val="en-US" w:eastAsia="zh-CN"/>
              </w:rPr>
            </w:pPr>
          </w:p>
        </w:tc>
        <w:tc>
          <w:tcPr>
            <w:tcW w:w="343" w:type="pct"/>
            <w:shd w:val="clear" w:color="auto" w:fill="auto"/>
            <w:vAlign w:val="center"/>
          </w:tcPr>
          <w:p>
            <w:pPr>
              <w:pStyle w:val="14"/>
              <w:rPr>
                <w:rFonts w:hint="eastAsia" w:eastAsia="宋体"/>
                <w:lang w:eastAsia="zh-CN"/>
              </w:rPr>
            </w:pPr>
            <w:r>
              <w:rPr>
                <w:rFonts w:hint="eastAsia"/>
                <w:lang w:val="en-US" w:eastAsia="zh-CN"/>
              </w:rPr>
              <w:t>2</w:t>
            </w:r>
          </w:p>
        </w:tc>
        <w:tc>
          <w:tcPr>
            <w:tcW w:w="345" w:type="pct"/>
            <w:vMerge w:val="continue"/>
            <w:shd w:val="clear" w:color="auto" w:fill="auto"/>
            <w:vAlign w:val="center"/>
          </w:tcPr>
          <w:p>
            <w:pPr>
              <w:pStyle w:val="14"/>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default"/>
                <w:lang w:val="en-US" w:eastAsia="zh-CN"/>
              </w:rPr>
            </w:pPr>
            <w:r>
              <w:rPr>
                <w:rFonts w:hint="eastAsia"/>
                <w:lang w:val="en-US" w:eastAsia="zh-CN"/>
              </w:rPr>
              <w:t>高于海绵城市专项规划或现行国家标准《海绵城市建设评价标准》GB/T 51345规定目标值3%</w:t>
            </w:r>
          </w:p>
        </w:tc>
        <w:tc>
          <w:tcPr>
            <w:tcW w:w="343" w:type="pct"/>
            <w:shd w:val="clear" w:color="auto" w:fill="auto"/>
            <w:vAlign w:val="center"/>
          </w:tcPr>
          <w:p>
            <w:pPr>
              <w:pStyle w:val="14"/>
              <w:rPr>
                <w:rFonts w:hint="eastAsia"/>
                <w:lang w:val="en-US" w:eastAsia="zh-CN"/>
              </w:rPr>
            </w:pPr>
            <w:r>
              <w:rPr>
                <w:rFonts w:hint="eastAsia"/>
                <w:lang w:val="en-US" w:eastAsia="zh-CN"/>
              </w:rPr>
              <w:t>4</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eastAsia"/>
                <w:lang w:val="en-US" w:eastAsia="zh-CN"/>
              </w:rPr>
            </w:pPr>
            <w:r>
              <w:rPr>
                <w:rFonts w:hint="eastAsia"/>
                <w:lang w:val="en-US" w:eastAsia="zh-CN"/>
              </w:rPr>
              <w:t>高于海绵城市专项规划或现行国家标准《海绵城市建设评价标准》GB/T 51345规定目标值5%</w:t>
            </w:r>
          </w:p>
        </w:tc>
        <w:tc>
          <w:tcPr>
            <w:tcW w:w="343" w:type="pct"/>
            <w:shd w:val="clear" w:color="auto" w:fill="auto"/>
            <w:vAlign w:val="center"/>
          </w:tcPr>
          <w:p>
            <w:pPr>
              <w:pStyle w:val="14"/>
              <w:rPr>
                <w:rFonts w:hint="eastAsia"/>
                <w:lang w:val="en-US" w:eastAsia="zh-CN"/>
              </w:rPr>
            </w:pPr>
            <w:r>
              <w:rPr>
                <w:rFonts w:hint="eastAsia"/>
                <w:lang w:val="en-US" w:eastAsia="zh-CN"/>
              </w:rPr>
              <w:t>6</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shd w:val="clear" w:color="auto" w:fill="auto"/>
            <w:vAlign w:val="center"/>
          </w:tcPr>
          <w:p>
            <w:pPr>
              <w:pStyle w:val="14"/>
            </w:pPr>
            <w:r>
              <w:rPr>
                <w:rFonts w:hint="eastAsia"/>
              </w:rPr>
              <w:t>3</w:t>
            </w:r>
          </w:p>
        </w:tc>
        <w:tc>
          <w:tcPr>
            <w:tcW w:w="687" w:type="pct"/>
            <w:shd w:val="clear" w:color="auto" w:fill="auto"/>
            <w:vAlign w:val="center"/>
          </w:tcPr>
          <w:p>
            <w:pPr>
              <w:pStyle w:val="14"/>
            </w:pPr>
            <w:r>
              <w:t>雨水资源化利用率</w:t>
            </w:r>
            <w:r>
              <w:rPr>
                <w:rFonts w:hint="eastAsia"/>
              </w:rPr>
              <w:t>提高</w:t>
            </w:r>
          </w:p>
        </w:tc>
        <w:tc>
          <w:tcPr>
            <w:tcW w:w="3291" w:type="pct"/>
            <w:shd w:val="clear" w:color="auto" w:fill="auto"/>
            <w:vAlign w:val="center"/>
          </w:tcPr>
          <w:p>
            <w:pPr>
              <w:pStyle w:val="14"/>
              <w:rPr>
                <w:rFonts w:hint="default"/>
                <w:lang w:val="en-US" w:eastAsia="zh-CN"/>
              </w:rPr>
            </w:pPr>
            <w:r>
              <w:rPr>
                <w:rFonts w:hint="eastAsia"/>
                <w:lang w:val="en-US" w:eastAsia="zh-CN"/>
              </w:rPr>
              <w:t>雨水利用途径或用户明确，末端雨水调蓄设施均设有净化和利用设施</w:t>
            </w:r>
          </w:p>
        </w:tc>
        <w:tc>
          <w:tcPr>
            <w:tcW w:w="343" w:type="pct"/>
            <w:shd w:val="clear" w:color="auto" w:fill="auto"/>
            <w:vAlign w:val="center"/>
          </w:tcPr>
          <w:p>
            <w:pPr>
              <w:pStyle w:val="14"/>
              <w:rPr>
                <w:rFonts w:hint="eastAsia"/>
                <w:lang w:val="en-US" w:eastAsia="zh-CN"/>
              </w:rPr>
            </w:pPr>
            <w:r>
              <w:rPr>
                <w:rFonts w:hint="eastAsia"/>
                <w:lang w:val="en-US" w:eastAsia="zh-CN"/>
              </w:rPr>
              <w:t>2</w:t>
            </w:r>
          </w:p>
        </w:tc>
        <w:tc>
          <w:tcPr>
            <w:tcW w:w="345" w:type="pct"/>
            <w:shd w:val="clear" w:color="auto" w:fill="auto"/>
            <w:vAlign w:val="center"/>
          </w:tcPr>
          <w:p>
            <w:pPr>
              <w:pStyle w:val="14"/>
              <w:rPr>
                <w:rFonts w:hint="eastAsia" w:eastAsia="宋体"/>
                <w:lang w:eastAsia="zh-CN"/>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333" w:type="pct"/>
            <w:vMerge w:val="restart"/>
            <w:shd w:val="clear" w:color="auto" w:fill="auto"/>
            <w:vAlign w:val="center"/>
          </w:tcPr>
          <w:p>
            <w:pPr>
              <w:pStyle w:val="14"/>
            </w:pPr>
            <w:r>
              <w:rPr>
                <w:rFonts w:hint="eastAsia"/>
              </w:rPr>
              <w:t>4</w:t>
            </w:r>
          </w:p>
        </w:tc>
        <w:tc>
          <w:tcPr>
            <w:tcW w:w="687" w:type="pct"/>
            <w:vMerge w:val="restart"/>
            <w:shd w:val="clear" w:color="auto" w:fill="auto"/>
            <w:vAlign w:val="center"/>
          </w:tcPr>
          <w:p>
            <w:pPr>
              <w:pStyle w:val="14"/>
            </w:pPr>
            <w:r>
              <w:rPr>
                <w:rFonts w:hint="eastAsia"/>
              </w:rPr>
              <w:t>因地制宜采用透水铺装</w:t>
            </w:r>
          </w:p>
        </w:tc>
        <w:tc>
          <w:tcPr>
            <w:tcW w:w="3291" w:type="pct"/>
            <w:shd w:val="clear" w:color="auto" w:fill="auto"/>
            <w:vAlign w:val="center"/>
          </w:tcPr>
          <w:p>
            <w:pPr>
              <w:pStyle w:val="14"/>
              <w:rPr>
                <w:rFonts w:hint="eastAsia"/>
                <w:lang w:val="en-US" w:eastAsia="zh-CN"/>
              </w:rPr>
            </w:pPr>
            <w:r>
              <w:rPr>
                <w:rFonts w:hint="eastAsia"/>
                <w:lang w:val="en-US" w:eastAsia="zh-CN"/>
              </w:rPr>
              <w:t>新建项目不透水地面比率≤40%；改建项目不透水地面比率≤70%，且不大于改造前</w:t>
            </w:r>
          </w:p>
        </w:tc>
        <w:tc>
          <w:tcPr>
            <w:tcW w:w="343" w:type="pct"/>
            <w:shd w:val="clear" w:color="auto" w:fill="auto"/>
            <w:vAlign w:val="center"/>
          </w:tcPr>
          <w:p>
            <w:pPr>
              <w:pStyle w:val="14"/>
              <w:rPr>
                <w:rFonts w:hint="eastAsia"/>
                <w:lang w:val="en-US" w:eastAsia="zh-CN"/>
              </w:rPr>
            </w:pPr>
            <w:r>
              <w:rPr>
                <w:rFonts w:hint="eastAsia"/>
                <w:lang w:val="en-US" w:eastAsia="zh-CN"/>
              </w:rPr>
              <w:t>2</w:t>
            </w:r>
          </w:p>
        </w:tc>
        <w:tc>
          <w:tcPr>
            <w:tcW w:w="345" w:type="pct"/>
            <w:vMerge w:val="restart"/>
            <w:shd w:val="clear" w:color="auto" w:fill="auto"/>
            <w:vAlign w:val="center"/>
          </w:tcPr>
          <w:p>
            <w:pPr>
              <w:pStyle w:val="14"/>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eastAsia"/>
                <w:lang w:val="en-US" w:eastAsia="zh-CN"/>
              </w:rPr>
            </w:pPr>
            <w:r>
              <w:rPr>
                <w:rFonts w:hint="eastAsia"/>
                <w:lang w:val="en-US" w:eastAsia="zh-CN"/>
              </w:rPr>
              <w:t>新建项目不透水地面比率≤35%；改建项目不透水地面比率≤65%，且不大于改造前</w:t>
            </w:r>
          </w:p>
        </w:tc>
        <w:tc>
          <w:tcPr>
            <w:tcW w:w="343" w:type="pct"/>
            <w:shd w:val="clear" w:color="auto" w:fill="auto"/>
            <w:vAlign w:val="center"/>
          </w:tcPr>
          <w:p>
            <w:pPr>
              <w:pStyle w:val="14"/>
              <w:rPr>
                <w:rFonts w:hint="eastAsia"/>
                <w:lang w:val="en-US" w:eastAsia="zh-CN"/>
              </w:rPr>
            </w:pPr>
            <w:r>
              <w:rPr>
                <w:rFonts w:hint="eastAsia"/>
                <w:lang w:val="en-US" w:eastAsia="zh-CN"/>
              </w:rPr>
              <w:t>3</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eastAsia"/>
                <w:lang w:val="en-US" w:eastAsia="zh-CN"/>
              </w:rPr>
            </w:pPr>
            <w:r>
              <w:rPr>
                <w:rFonts w:hint="eastAsia"/>
                <w:lang w:val="en-US" w:eastAsia="zh-CN"/>
              </w:rPr>
              <w:t>新建项目不透水地面比率≤30%；改建项目不透水地面比率≤60%，且不大于改造前</w:t>
            </w:r>
          </w:p>
        </w:tc>
        <w:tc>
          <w:tcPr>
            <w:tcW w:w="343" w:type="pct"/>
            <w:shd w:val="clear" w:color="auto" w:fill="auto"/>
            <w:vAlign w:val="center"/>
          </w:tcPr>
          <w:p>
            <w:pPr>
              <w:pStyle w:val="14"/>
              <w:rPr>
                <w:rFonts w:hint="eastAsia"/>
                <w:lang w:val="en-US" w:eastAsia="zh-CN"/>
              </w:rPr>
            </w:pPr>
            <w:r>
              <w:rPr>
                <w:rFonts w:hint="eastAsia"/>
                <w:lang w:val="en-US" w:eastAsia="zh-CN"/>
              </w:rPr>
              <w:t>5</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restart"/>
            <w:shd w:val="clear" w:color="auto" w:fill="auto"/>
            <w:vAlign w:val="center"/>
          </w:tcPr>
          <w:p>
            <w:pPr>
              <w:pStyle w:val="14"/>
            </w:pPr>
            <w:r>
              <w:rPr>
                <w:rFonts w:hint="eastAsia"/>
              </w:rPr>
              <w:t>5</w:t>
            </w:r>
          </w:p>
        </w:tc>
        <w:tc>
          <w:tcPr>
            <w:tcW w:w="687" w:type="pct"/>
            <w:vMerge w:val="restart"/>
            <w:shd w:val="clear" w:color="auto" w:fill="auto"/>
            <w:vAlign w:val="center"/>
          </w:tcPr>
          <w:p>
            <w:pPr>
              <w:pStyle w:val="14"/>
            </w:pPr>
            <w:r>
              <w:rPr>
                <w:rFonts w:hint="eastAsia"/>
                <w:lang w:val="en-US" w:eastAsia="zh-CN"/>
              </w:rPr>
              <w:t>不透水下垫面</w:t>
            </w:r>
            <w:r>
              <w:rPr>
                <w:rFonts w:hint="eastAsia"/>
              </w:rPr>
              <w:t>断接比例</w:t>
            </w:r>
          </w:p>
        </w:tc>
        <w:tc>
          <w:tcPr>
            <w:tcW w:w="3291" w:type="pct"/>
            <w:shd w:val="clear" w:color="auto" w:fill="auto"/>
            <w:vAlign w:val="center"/>
          </w:tcPr>
          <w:p>
            <w:pPr>
              <w:pStyle w:val="14"/>
              <w:rPr>
                <w:rFonts w:hint="eastAsia"/>
                <w:lang w:val="en-US" w:eastAsia="zh-CN"/>
              </w:rPr>
            </w:pPr>
            <w:r>
              <w:rPr>
                <w:rFonts w:hint="eastAsia"/>
                <w:lang w:val="en-US" w:eastAsia="zh-CN"/>
              </w:rPr>
              <w:t>建筑屋面、硬化铺装等不透水下垫面排水管线断接比例</w:t>
            </w:r>
          </w:p>
          <w:p>
            <w:pPr>
              <w:pStyle w:val="14"/>
              <w:rPr>
                <w:rFonts w:hint="eastAsia"/>
                <w:lang w:val="en-US" w:eastAsia="zh-CN"/>
              </w:rPr>
            </w:pPr>
            <w:r>
              <w:rPr>
                <w:rFonts w:hint="eastAsia"/>
                <w:lang w:val="en-US" w:eastAsia="zh-CN"/>
              </w:rPr>
              <w:t>≥40%</w:t>
            </w:r>
          </w:p>
        </w:tc>
        <w:tc>
          <w:tcPr>
            <w:tcW w:w="343" w:type="pct"/>
            <w:shd w:val="clear" w:color="auto" w:fill="auto"/>
            <w:vAlign w:val="center"/>
          </w:tcPr>
          <w:p>
            <w:pPr>
              <w:pStyle w:val="14"/>
              <w:rPr>
                <w:rFonts w:hint="eastAsia"/>
                <w:lang w:val="en-US" w:eastAsia="zh-CN"/>
              </w:rPr>
            </w:pPr>
            <w:r>
              <w:rPr>
                <w:rFonts w:hint="eastAsia"/>
                <w:lang w:val="en-US" w:eastAsia="zh-CN"/>
              </w:rPr>
              <w:t>2</w:t>
            </w:r>
          </w:p>
        </w:tc>
        <w:tc>
          <w:tcPr>
            <w:tcW w:w="345" w:type="pct"/>
            <w:vMerge w:val="restart"/>
            <w:shd w:val="clear" w:color="auto" w:fill="auto"/>
            <w:vAlign w:val="center"/>
          </w:tcPr>
          <w:p>
            <w:pPr>
              <w:pStyle w:val="14"/>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eastAsia"/>
                <w:lang w:val="en-US" w:eastAsia="zh-CN"/>
              </w:rPr>
            </w:pPr>
            <w:r>
              <w:rPr>
                <w:rFonts w:hint="eastAsia"/>
                <w:lang w:val="en-US" w:eastAsia="zh-CN"/>
              </w:rPr>
              <w:t>建筑屋面、硬化铺装等不透水下垫面排水管线断接比例</w:t>
            </w:r>
          </w:p>
          <w:p>
            <w:pPr>
              <w:pStyle w:val="14"/>
              <w:rPr>
                <w:rFonts w:hint="eastAsia"/>
                <w:lang w:val="en-US" w:eastAsia="zh-CN"/>
              </w:rPr>
            </w:pPr>
            <w:r>
              <w:rPr>
                <w:rFonts w:hint="eastAsia"/>
                <w:lang w:val="en-US" w:eastAsia="zh-CN"/>
              </w:rPr>
              <w:t>≥70%</w:t>
            </w:r>
          </w:p>
        </w:tc>
        <w:tc>
          <w:tcPr>
            <w:tcW w:w="343" w:type="pct"/>
            <w:shd w:val="clear" w:color="auto" w:fill="auto"/>
            <w:vAlign w:val="center"/>
          </w:tcPr>
          <w:p>
            <w:pPr>
              <w:pStyle w:val="14"/>
              <w:rPr>
                <w:rFonts w:hint="eastAsia"/>
                <w:lang w:val="en-US" w:eastAsia="zh-CN"/>
              </w:rPr>
            </w:pPr>
            <w:r>
              <w:rPr>
                <w:rFonts w:hint="eastAsia"/>
                <w:lang w:val="en-US" w:eastAsia="zh-CN"/>
              </w:rPr>
              <w:t>3</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eastAsia"/>
                <w:lang w:val="en-US" w:eastAsia="zh-CN"/>
              </w:rPr>
            </w:pPr>
            <w:r>
              <w:rPr>
                <w:rFonts w:hint="eastAsia"/>
                <w:lang w:val="en-US" w:eastAsia="zh-CN"/>
              </w:rPr>
              <w:t>建筑屋面、硬化铺装等不透水下垫面排水管线断接比例100%</w:t>
            </w:r>
          </w:p>
        </w:tc>
        <w:tc>
          <w:tcPr>
            <w:tcW w:w="343" w:type="pct"/>
            <w:shd w:val="clear" w:color="auto" w:fill="auto"/>
            <w:vAlign w:val="center"/>
          </w:tcPr>
          <w:p>
            <w:pPr>
              <w:pStyle w:val="14"/>
              <w:rPr>
                <w:rFonts w:hint="eastAsia"/>
                <w:lang w:val="en-US" w:eastAsia="zh-CN"/>
              </w:rPr>
            </w:pPr>
            <w:r>
              <w:rPr>
                <w:rFonts w:hint="eastAsia"/>
                <w:lang w:val="en-US" w:eastAsia="zh-CN"/>
              </w:rPr>
              <w:t>5</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restart"/>
            <w:shd w:val="clear" w:color="auto" w:fill="auto"/>
            <w:vAlign w:val="center"/>
          </w:tcPr>
          <w:p>
            <w:pPr>
              <w:pStyle w:val="14"/>
            </w:pPr>
            <w:r>
              <w:rPr>
                <w:rFonts w:hint="eastAsia"/>
              </w:rPr>
              <w:t>6</w:t>
            </w:r>
          </w:p>
        </w:tc>
        <w:tc>
          <w:tcPr>
            <w:tcW w:w="687" w:type="pct"/>
            <w:vMerge w:val="restart"/>
            <w:shd w:val="clear" w:color="auto" w:fill="auto"/>
            <w:vAlign w:val="center"/>
          </w:tcPr>
          <w:p>
            <w:pPr>
              <w:pStyle w:val="14"/>
            </w:pPr>
            <w:r>
              <w:rPr>
                <w:rFonts w:hint="eastAsia"/>
              </w:rPr>
              <w:t>绿色设施与灰色设施占比</w:t>
            </w:r>
          </w:p>
        </w:tc>
        <w:tc>
          <w:tcPr>
            <w:tcW w:w="3291" w:type="pct"/>
            <w:shd w:val="clear" w:color="auto" w:fill="auto"/>
            <w:vAlign w:val="center"/>
          </w:tcPr>
          <w:p>
            <w:pPr>
              <w:pStyle w:val="14"/>
              <w:rPr>
                <w:rFonts w:hint="eastAsia"/>
                <w:lang w:val="en-US" w:eastAsia="zh-CN"/>
              </w:rPr>
            </w:pPr>
            <w:r>
              <w:rPr>
                <w:rFonts w:hint="eastAsia"/>
                <w:lang w:val="en-US" w:eastAsia="zh-CN"/>
              </w:rPr>
              <w:t>绿色设施调蓄总量占径流总量控制率指标下对应的降雨量的70%</w:t>
            </w:r>
          </w:p>
        </w:tc>
        <w:tc>
          <w:tcPr>
            <w:tcW w:w="343" w:type="pct"/>
            <w:shd w:val="clear" w:color="auto" w:fill="auto"/>
            <w:vAlign w:val="center"/>
          </w:tcPr>
          <w:p>
            <w:pPr>
              <w:pStyle w:val="14"/>
              <w:rPr>
                <w:rFonts w:hint="eastAsia" w:eastAsia="宋体"/>
                <w:lang w:eastAsia="zh-CN"/>
              </w:rPr>
            </w:pPr>
            <w:r>
              <w:rPr>
                <w:rFonts w:hint="eastAsia"/>
                <w:lang w:val="en-US" w:eastAsia="zh-CN"/>
              </w:rPr>
              <w:t>1</w:t>
            </w:r>
          </w:p>
        </w:tc>
        <w:tc>
          <w:tcPr>
            <w:tcW w:w="345" w:type="pct"/>
            <w:vMerge w:val="restart"/>
            <w:shd w:val="clear" w:color="auto" w:fill="auto"/>
            <w:vAlign w:val="center"/>
          </w:tcPr>
          <w:p>
            <w:pPr>
              <w:pStyle w:val="14"/>
              <w:rPr>
                <w:rFonts w:hint="eastAsia" w:eastAsia="宋体"/>
                <w:lang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pPr>
          </w:p>
        </w:tc>
        <w:tc>
          <w:tcPr>
            <w:tcW w:w="3291" w:type="pct"/>
            <w:shd w:val="clear" w:color="auto" w:fill="auto"/>
            <w:vAlign w:val="center"/>
          </w:tcPr>
          <w:p>
            <w:pPr>
              <w:pStyle w:val="14"/>
              <w:rPr>
                <w:rFonts w:hint="eastAsia"/>
                <w:lang w:val="en-US" w:eastAsia="zh-CN"/>
              </w:rPr>
            </w:pPr>
            <w:r>
              <w:rPr>
                <w:rFonts w:hint="eastAsia"/>
                <w:lang w:val="en-US" w:eastAsia="zh-CN"/>
              </w:rPr>
              <w:t>绿色设施调蓄总量占径流总量控制率指标下对应的降雨量的80%</w:t>
            </w:r>
          </w:p>
        </w:tc>
        <w:tc>
          <w:tcPr>
            <w:tcW w:w="343" w:type="pct"/>
            <w:shd w:val="clear" w:color="auto" w:fill="auto"/>
            <w:vAlign w:val="center"/>
          </w:tcPr>
          <w:p>
            <w:pPr>
              <w:pStyle w:val="14"/>
              <w:rPr>
                <w:rFonts w:hint="eastAsia" w:eastAsia="宋体"/>
                <w:lang w:eastAsia="zh-CN"/>
              </w:rPr>
            </w:pPr>
            <w:r>
              <w:rPr>
                <w:rFonts w:hint="eastAsia"/>
                <w:lang w:val="en-US" w:eastAsia="zh-CN"/>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vMerge w:val="continue"/>
            <w:shd w:val="clear" w:color="auto" w:fill="auto"/>
            <w:vAlign w:val="center"/>
          </w:tcPr>
          <w:p>
            <w:pPr>
              <w:pStyle w:val="14"/>
            </w:pPr>
          </w:p>
        </w:tc>
        <w:tc>
          <w:tcPr>
            <w:tcW w:w="687" w:type="pct"/>
            <w:vMerge w:val="continue"/>
            <w:shd w:val="clear" w:color="auto" w:fill="auto"/>
            <w:vAlign w:val="center"/>
          </w:tcPr>
          <w:p>
            <w:pPr>
              <w:pStyle w:val="14"/>
              <w:rPr>
                <w:rFonts w:hint="eastAsia"/>
                <w:lang w:val="en-US" w:eastAsia="zh-CN"/>
              </w:rPr>
            </w:pPr>
          </w:p>
        </w:tc>
        <w:tc>
          <w:tcPr>
            <w:tcW w:w="3291" w:type="pct"/>
            <w:shd w:val="clear" w:color="auto" w:fill="auto"/>
            <w:vAlign w:val="center"/>
          </w:tcPr>
          <w:p>
            <w:pPr>
              <w:pStyle w:val="14"/>
              <w:rPr>
                <w:rFonts w:hint="eastAsia"/>
                <w:lang w:val="en-US" w:eastAsia="zh-CN"/>
              </w:rPr>
            </w:pPr>
            <w:r>
              <w:rPr>
                <w:rFonts w:hint="eastAsia"/>
                <w:lang w:val="en-US" w:eastAsia="zh-CN"/>
              </w:rPr>
              <w:t>绿色设施调蓄总量占径流总量控制率指标下对应的降雨量的90%</w:t>
            </w:r>
          </w:p>
        </w:tc>
        <w:tc>
          <w:tcPr>
            <w:tcW w:w="343" w:type="pct"/>
            <w:shd w:val="clear" w:color="auto" w:fill="auto"/>
            <w:vAlign w:val="center"/>
          </w:tcPr>
          <w:p>
            <w:pPr>
              <w:pStyle w:val="14"/>
              <w:rPr>
                <w:rFonts w:hint="eastAsia" w:eastAsia="宋体"/>
                <w:lang w:eastAsia="zh-CN"/>
              </w:rPr>
            </w:pPr>
            <w:r>
              <w:rPr>
                <w:rFonts w:hint="eastAsia"/>
                <w:lang w:val="en-US" w:eastAsia="zh-CN"/>
              </w:rPr>
              <w:t>4</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shd w:val="clear" w:color="auto" w:fill="auto"/>
            <w:vAlign w:val="center"/>
          </w:tcPr>
          <w:p>
            <w:pPr>
              <w:pStyle w:val="14"/>
            </w:pPr>
            <w:r>
              <w:rPr>
                <w:rFonts w:hint="eastAsia"/>
              </w:rPr>
              <w:t>7</w:t>
            </w:r>
          </w:p>
        </w:tc>
        <w:tc>
          <w:tcPr>
            <w:tcW w:w="687" w:type="pct"/>
            <w:shd w:val="clear" w:color="auto" w:fill="auto"/>
            <w:vAlign w:val="center"/>
          </w:tcPr>
          <w:p>
            <w:pPr>
              <w:pStyle w:val="14"/>
              <w:rPr>
                <w:rFonts w:hint="eastAsia"/>
                <w:lang w:val="en-US" w:eastAsia="zh-CN"/>
              </w:rPr>
            </w:pPr>
            <w:r>
              <w:rPr>
                <w:rFonts w:hint="eastAsia"/>
                <w:lang w:val="en-US" w:eastAsia="zh-CN"/>
              </w:rPr>
              <w:t>雨水管网设计标准</w:t>
            </w:r>
          </w:p>
        </w:tc>
        <w:tc>
          <w:tcPr>
            <w:tcW w:w="3291" w:type="pct"/>
            <w:shd w:val="clear" w:color="auto" w:fill="auto"/>
            <w:vAlign w:val="center"/>
          </w:tcPr>
          <w:p>
            <w:pPr>
              <w:pStyle w:val="14"/>
              <w:rPr>
                <w:rFonts w:hint="default"/>
                <w:lang w:val="en-US" w:eastAsia="zh-CN"/>
              </w:rPr>
            </w:pPr>
            <w:r>
              <w:rPr>
                <w:rFonts w:hint="eastAsia"/>
                <w:lang w:val="en-US" w:eastAsia="zh-CN"/>
              </w:rPr>
              <w:t>雨水管网设计重现期达到规划设计标准</w:t>
            </w:r>
          </w:p>
        </w:tc>
        <w:tc>
          <w:tcPr>
            <w:tcW w:w="343" w:type="pct"/>
            <w:shd w:val="clear" w:color="auto" w:fill="auto"/>
            <w:vAlign w:val="center"/>
          </w:tcPr>
          <w:p>
            <w:pPr>
              <w:pStyle w:val="14"/>
              <w:rPr>
                <w:rFonts w:hint="eastAsia" w:eastAsia="宋体"/>
                <w:lang w:eastAsia="zh-CN"/>
              </w:rPr>
            </w:pPr>
            <w:r>
              <w:rPr>
                <w:rFonts w:hint="eastAsia"/>
                <w:lang w:val="en-US" w:eastAsia="zh-CN"/>
              </w:rPr>
              <w:t>1</w:t>
            </w:r>
          </w:p>
        </w:tc>
        <w:tc>
          <w:tcPr>
            <w:tcW w:w="345" w:type="pct"/>
            <w:shd w:val="clear" w:color="auto" w:fill="auto"/>
            <w:vAlign w:val="center"/>
          </w:tcPr>
          <w:p>
            <w:pPr>
              <w:pStyle w:val="14"/>
              <w:rPr>
                <w:rFonts w:hint="eastAsia" w:eastAsia="宋体"/>
                <w:lang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3" w:type="pct"/>
            <w:shd w:val="clear" w:color="auto" w:fill="auto"/>
            <w:vAlign w:val="center"/>
          </w:tcPr>
          <w:p>
            <w:pPr>
              <w:pStyle w:val="14"/>
            </w:pPr>
            <w:r>
              <w:rPr>
                <w:rFonts w:hint="eastAsia"/>
              </w:rPr>
              <w:t>8</w:t>
            </w:r>
          </w:p>
        </w:tc>
        <w:tc>
          <w:tcPr>
            <w:tcW w:w="3978" w:type="pct"/>
            <w:gridSpan w:val="2"/>
            <w:shd w:val="clear" w:color="auto" w:fill="auto"/>
            <w:vAlign w:val="center"/>
          </w:tcPr>
          <w:p>
            <w:pPr>
              <w:pStyle w:val="14"/>
              <w:rPr>
                <w:rFonts w:hint="eastAsia"/>
                <w:lang w:val="en-US" w:eastAsia="zh-CN"/>
              </w:rPr>
            </w:pPr>
            <w:r>
              <w:rPr>
                <w:rFonts w:hint="eastAsia"/>
                <w:lang w:val="en-US" w:eastAsia="zh-CN"/>
              </w:rPr>
              <w:t>建筑高度不高于20米的民用建筑，绿化屋顶比例不低于20%</w:t>
            </w:r>
          </w:p>
        </w:tc>
        <w:tc>
          <w:tcPr>
            <w:tcW w:w="343" w:type="pct"/>
            <w:shd w:val="clear" w:color="auto" w:fill="auto"/>
            <w:vAlign w:val="center"/>
          </w:tcPr>
          <w:p>
            <w:pPr>
              <w:pStyle w:val="14"/>
              <w:rPr>
                <w:rFonts w:hint="eastAsia" w:eastAsia="宋体"/>
                <w:lang w:eastAsia="zh-CN"/>
              </w:rPr>
            </w:pPr>
            <w:r>
              <w:rPr>
                <w:rFonts w:hint="eastAsia"/>
                <w:lang w:val="en-US" w:eastAsia="zh-CN"/>
              </w:rPr>
              <w:t>2</w:t>
            </w:r>
          </w:p>
        </w:tc>
        <w:tc>
          <w:tcPr>
            <w:tcW w:w="345" w:type="pct"/>
            <w:shd w:val="clear" w:color="auto" w:fill="auto"/>
            <w:vAlign w:val="center"/>
          </w:tcPr>
          <w:p>
            <w:pPr>
              <w:pStyle w:val="14"/>
              <w:rPr>
                <w:rFonts w:hint="eastAsia" w:eastAsia="宋体"/>
                <w:lang w:eastAsia="zh-CN"/>
              </w:rPr>
            </w:pPr>
            <w:r>
              <w:rPr>
                <w:rFonts w:hint="eastAsia"/>
                <w:lang w:val="en-US" w:eastAsia="zh-CN"/>
              </w:rPr>
              <w:t>2</w:t>
            </w:r>
          </w:p>
        </w:tc>
      </w:tr>
    </w:tbl>
    <w:p>
      <w:pPr>
        <w:rPr>
          <w:szCs w:val="32"/>
        </w:rPr>
      </w:pPr>
      <w:r>
        <w:rPr>
          <w:rFonts w:hint="eastAsia"/>
          <w:szCs w:val="32"/>
        </w:rPr>
        <w:br w:type="page"/>
      </w:r>
    </w:p>
    <w:p>
      <w:pPr>
        <w:pStyle w:val="13"/>
      </w:pPr>
      <w:r>
        <w:rPr>
          <w:rFonts w:hint="eastAsia"/>
        </w:rPr>
        <w:t>Ⅱ</w:t>
      </w:r>
      <w:r>
        <w:rPr>
          <w:rFonts w:hint="eastAsia"/>
          <w:lang w:val="en-US" w:eastAsia="zh-CN"/>
        </w:rPr>
        <w:t xml:space="preserve"> </w:t>
      </w:r>
      <w:r>
        <w:rPr>
          <w:rFonts w:hint="eastAsia"/>
        </w:rPr>
        <w:t>技术措施适宜性（</w:t>
      </w:r>
      <w:r>
        <w:rPr>
          <w:rFonts w:hint="eastAsia"/>
          <w:lang w:val="en-US" w:eastAsia="zh-CN"/>
        </w:rPr>
        <w:t>6</w:t>
      </w:r>
      <w:r>
        <w:rPr>
          <w:rFonts w:hint="eastAsia"/>
        </w:rPr>
        <w:t>0分）</w:t>
      </w:r>
    </w:p>
    <w:tbl>
      <w:tblPr>
        <w:tblStyle w:val="6"/>
        <w:tblW w:w="4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36"/>
        <w:gridCol w:w="1124"/>
        <w:gridCol w:w="5419"/>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7" w:type="pct"/>
            <w:vMerge w:val="restart"/>
            <w:shd w:val="clear" w:color="auto" w:fill="auto"/>
            <w:vAlign w:val="center"/>
          </w:tcPr>
          <w:p>
            <w:pPr>
              <w:pStyle w:val="14"/>
            </w:pPr>
            <w:r>
              <w:t>序号</w:t>
            </w:r>
          </w:p>
        </w:tc>
        <w:tc>
          <w:tcPr>
            <w:tcW w:w="3982" w:type="pct"/>
            <w:gridSpan w:val="2"/>
            <w:vMerge w:val="restart"/>
            <w:shd w:val="clear" w:color="auto" w:fill="auto"/>
            <w:vAlign w:val="center"/>
          </w:tcPr>
          <w:p>
            <w:pPr>
              <w:pStyle w:val="14"/>
            </w:pPr>
            <w:r>
              <w:t>评价标准</w:t>
            </w:r>
          </w:p>
        </w:tc>
        <w:tc>
          <w:tcPr>
            <w:tcW w:w="690" w:type="pct"/>
            <w:gridSpan w:val="2"/>
            <w:shd w:val="clear" w:color="auto" w:fill="auto"/>
            <w:vAlign w:val="center"/>
          </w:tcPr>
          <w:p>
            <w:pPr>
              <w:pStyle w:val="14"/>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7" w:type="pct"/>
            <w:vMerge w:val="continue"/>
            <w:shd w:val="clear" w:color="auto" w:fill="auto"/>
            <w:vAlign w:val="center"/>
          </w:tcPr>
          <w:p>
            <w:pPr>
              <w:pStyle w:val="14"/>
            </w:pPr>
          </w:p>
        </w:tc>
        <w:tc>
          <w:tcPr>
            <w:tcW w:w="3982" w:type="pct"/>
            <w:gridSpan w:val="2"/>
            <w:vMerge w:val="continue"/>
            <w:shd w:val="clear" w:color="auto" w:fill="auto"/>
            <w:vAlign w:val="center"/>
          </w:tcPr>
          <w:p>
            <w:pPr>
              <w:pStyle w:val="14"/>
            </w:pPr>
          </w:p>
        </w:tc>
        <w:tc>
          <w:tcPr>
            <w:tcW w:w="345" w:type="pct"/>
            <w:shd w:val="clear" w:color="auto" w:fill="auto"/>
            <w:vAlign w:val="center"/>
          </w:tcPr>
          <w:p>
            <w:pPr>
              <w:pStyle w:val="14"/>
            </w:pPr>
            <w:r>
              <w:t>评分</w:t>
            </w:r>
          </w:p>
        </w:tc>
        <w:tc>
          <w:tcPr>
            <w:tcW w:w="345" w:type="pct"/>
            <w:shd w:val="clear" w:color="auto" w:fill="auto"/>
            <w:vAlign w:val="center"/>
          </w:tcPr>
          <w:p>
            <w:pPr>
              <w:pStyle w:val="14"/>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restart"/>
            <w:shd w:val="clear" w:color="auto" w:fill="auto"/>
            <w:vAlign w:val="center"/>
          </w:tcPr>
          <w:p>
            <w:pPr>
              <w:pStyle w:val="14"/>
            </w:pPr>
            <w:r>
              <w:rPr>
                <w:rFonts w:hint="eastAsia"/>
              </w:rPr>
              <w:t>9</w:t>
            </w:r>
          </w:p>
        </w:tc>
        <w:tc>
          <w:tcPr>
            <w:tcW w:w="684" w:type="pct"/>
            <w:vMerge w:val="restart"/>
            <w:shd w:val="clear" w:color="auto" w:fill="auto"/>
            <w:vAlign w:val="center"/>
          </w:tcPr>
          <w:p>
            <w:pPr>
              <w:pStyle w:val="14"/>
            </w:pPr>
            <w:r>
              <w:rPr>
                <w:rFonts w:hint="eastAsia"/>
              </w:rPr>
              <w:t>绿色设施系统布局合理</w:t>
            </w:r>
          </w:p>
        </w:tc>
        <w:tc>
          <w:tcPr>
            <w:tcW w:w="3297" w:type="pct"/>
            <w:shd w:val="clear" w:color="auto" w:fill="auto"/>
            <w:vAlign w:val="center"/>
          </w:tcPr>
          <w:p>
            <w:pPr>
              <w:pStyle w:val="14"/>
            </w:pPr>
            <w:r>
              <w:t>1</w:t>
            </w:r>
            <w:r>
              <w:rPr>
                <w:rFonts w:hint="eastAsia"/>
              </w:rPr>
              <w:t>）衔接和引导场地内不低于</w:t>
            </w:r>
            <w:r>
              <w:t>80%</w:t>
            </w:r>
            <w:r>
              <w:rPr>
                <w:rFonts w:hint="eastAsia"/>
              </w:rPr>
              <w:t>的不透水下垫面的雨水径流进入绿色设施</w:t>
            </w:r>
          </w:p>
        </w:tc>
        <w:tc>
          <w:tcPr>
            <w:tcW w:w="345" w:type="pct"/>
            <w:shd w:val="clear" w:color="auto" w:fill="auto"/>
            <w:vAlign w:val="center"/>
          </w:tcPr>
          <w:p>
            <w:pPr>
              <w:pStyle w:val="14"/>
              <w:rPr>
                <w:rFonts w:hint="eastAsia" w:eastAsia="宋体"/>
                <w:lang w:eastAsia="zh-CN"/>
              </w:rPr>
            </w:pPr>
            <w:r>
              <w:rPr>
                <w:rFonts w:hint="eastAsia"/>
                <w:lang w:val="en-US" w:eastAsia="zh-CN"/>
              </w:rPr>
              <w:t>3</w:t>
            </w:r>
          </w:p>
        </w:tc>
        <w:tc>
          <w:tcPr>
            <w:tcW w:w="345" w:type="pct"/>
            <w:vMerge w:val="restart"/>
            <w:shd w:val="clear" w:color="auto" w:fill="auto"/>
            <w:vAlign w:val="center"/>
          </w:tcPr>
          <w:p>
            <w:pPr>
              <w:pStyle w:val="14"/>
              <w:rPr>
                <w:rFonts w:hint="eastAsia" w:eastAsia="宋体"/>
                <w:lang w:eastAsia="zh-CN"/>
              </w:rPr>
            </w:pPr>
            <w:r>
              <w:t>1</w:t>
            </w: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t>2</w:t>
            </w:r>
            <w:r>
              <w:rPr>
                <w:rFonts w:hint="eastAsia"/>
              </w:rPr>
              <w:t>）绿色设施规模与其相应汇水区雨水径流控制体积相匹配</w:t>
            </w:r>
          </w:p>
        </w:tc>
        <w:tc>
          <w:tcPr>
            <w:tcW w:w="345" w:type="pct"/>
            <w:shd w:val="clear" w:color="auto" w:fill="auto"/>
            <w:vAlign w:val="center"/>
          </w:tcPr>
          <w:p>
            <w:pPr>
              <w:pStyle w:val="14"/>
              <w:rPr>
                <w:rFonts w:hint="eastAsia" w:eastAsia="宋体"/>
                <w:lang w:eastAsia="zh-CN"/>
              </w:rPr>
            </w:pPr>
            <w:r>
              <w:rPr>
                <w:rFonts w:hint="eastAsia"/>
                <w:lang w:val="en-US" w:eastAsia="zh-CN"/>
              </w:rPr>
              <w:t>3</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t>3</w:t>
            </w:r>
            <w:r>
              <w:rPr>
                <w:rFonts w:hint="eastAsia"/>
              </w:rPr>
              <w:t>）绿色设施布设与建筑物、构筑物、井具井盖及其他配套设施功能无冲突</w:t>
            </w:r>
          </w:p>
        </w:tc>
        <w:tc>
          <w:tcPr>
            <w:tcW w:w="345" w:type="pct"/>
            <w:shd w:val="clear" w:color="auto" w:fill="auto"/>
            <w:vAlign w:val="center"/>
          </w:tcPr>
          <w:p>
            <w:pPr>
              <w:pStyle w:val="14"/>
            </w:pPr>
            <w: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eastAsia="宋体"/>
                <w:lang w:val="en-US" w:eastAsia="zh-CN"/>
              </w:rPr>
            </w:pPr>
            <w:r>
              <w:rPr>
                <w:rFonts w:hint="eastAsia"/>
              </w:rPr>
              <w:t>4）优先利用场地内水体</w:t>
            </w:r>
            <w:r>
              <w:rPr>
                <w:rFonts w:hint="eastAsia"/>
                <w:lang w:val="en-US" w:eastAsia="zh-CN"/>
              </w:rPr>
              <w:t>调蓄</w:t>
            </w:r>
          </w:p>
        </w:tc>
        <w:tc>
          <w:tcPr>
            <w:tcW w:w="345" w:type="pct"/>
            <w:shd w:val="clear" w:color="auto" w:fill="auto"/>
            <w:vAlign w:val="center"/>
          </w:tcPr>
          <w:p>
            <w:pPr>
              <w:pStyle w:val="14"/>
            </w:pPr>
            <w: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eastAsia="宋体"/>
                <w:lang w:eastAsia="zh-CN"/>
              </w:rPr>
            </w:pPr>
            <w:r>
              <w:rPr>
                <w:rFonts w:hint="eastAsia"/>
              </w:rPr>
              <w:t>5）绿色设施与建筑、绿化、景观风貌相协调</w:t>
            </w:r>
          </w:p>
        </w:tc>
        <w:tc>
          <w:tcPr>
            <w:tcW w:w="345" w:type="pct"/>
            <w:shd w:val="clear" w:color="auto" w:fill="auto"/>
            <w:vAlign w:val="center"/>
          </w:tcPr>
          <w:p>
            <w:pPr>
              <w:pStyle w:val="14"/>
            </w:pPr>
            <w: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restart"/>
            <w:shd w:val="clear" w:color="auto" w:fill="auto"/>
            <w:vAlign w:val="center"/>
          </w:tcPr>
          <w:p>
            <w:pPr>
              <w:pStyle w:val="14"/>
            </w:pPr>
            <w:r>
              <w:rPr>
                <w:rFonts w:hint="eastAsia"/>
              </w:rPr>
              <w:t>10</w:t>
            </w:r>
          </w:p>
        </w:tc>
        <w:tc>
          <w:tcPr>
            <w:tcW w:w="684" w:type="pct"/>
            <w:vMerge w:val="restart"/>
            <w:shd w:val="clear" w:color="auto" w:fill="auto"/>
            <w:vAlign w:val="center"/>
          </w:tcPr>
          <w:p>
            <w:pPr>
              <w:pStyle w:val="14"/>
              <w:rPr>
                <w:rFonts w:hint="eastAsia"/>
              </w:rPr>
            </w:pPr>
            <w:r>
              <w:rPr>
                <w:rFonts w:hint="eastAsia"/>
              </w:rPr>
              <w:t>绿色设施选择适宜</w:t>
            </w:r>
          </w:p>
        </w:tc>
        <w:tc>
          <w:tcPr>
            <w:tcW w:w="3297" w:type="pct"/>
            <w:shd w:val="clear" w:color="auto" w:fill="auto"/>
            <w:vAlign w:val="center"/>
          </w:tcPr>
          <w:p>
            <w:pPr>
              <w:pStyle w:val="14"/>
              <w:rPr>
                <w:rFonts w:hint="eastAsia"/>
              </w:rPr>
            </w:pPr>
            <w:r>
              <w:rPr>
                <w:rFonts w:hint="eastAsia"/>
              </w:rPr>
              <w:t>1）</w:t>
            </w:r>
            <w:r>
              <w:rPr>
                <w:rFonts w:hint="eastAsia"/>
                <w:lang w:eastAsia="zh-CN"/>
              </w:rPr>
              <w:t>海绵城市设施</w:t>
            </w:r>
            <w:r>
              <w:rPr>
                <w:rFonts w:hint="eastAsia"/>
              </w:rPr>
              <w:t>应符合功能多样性，单一功能设施不宜过度使用，</w:t>
            </w:r>
            <w:r>
              <w:rPr>
                <w:rFonts w:hint="eastAsia"/>
                <w:lang w:val="en-US" w:eastAsia="zh-CN"/>
              </w:rPr>
              <w:t>渗、滞类</w:t>
            </w:r>
            <w:r>
              <w:rPr>
                <w:rFonts w:hint="eastAsia"/>
              </w:rPr>
              <w:t>设施类型不少于4种</w:t>
            </w:r>
          </w:p>
        </w:tc>
        <w:tc>
          <w:tcPr>
            <w:tcW w:w="345" w:type="pct"/>
            <w:shd w:val="clear" w:color="auto" w:fill="auto"/>
            <w:vAlign w:val="center"/>
          </w:tcPr>
          <w:p>
            <w:pPr>
              <w:pStyle w:val="14"/>
              <w:rPr>
                <w:rFonts w:hint="eastAsia" w:eastAsia="宋体"/>
                <w:lang w:eastAsia="zh-CN"/>
              </w:rPr>
            </w:pPr>
            <w:r>
              <w:rPr>
                <w:rFonts w:hint="eastAsia"/>
                <w:lang w:val="en-US" w:eastAsia="zh-CN"/>
              </w:rPr>
              <w:t>2</w:t>
            </w:r>
          </w:p>
        </w:tc>
        <w:tc>
          <w:tcPr>
            <w:tcW w:w="345" w:type="pct"/>
            <w:vMerge w:val="restart"/>
            <w:shd w:val="clear" w:color="auto" w:fill="auto"/>
            <w:vAlign w:val="center"/>
          </w:tcPr>
          <w:p>
            <w:pPr>
              <w:pStyle w:val="14"/>
              <w:rPr>
                <w:rFonts w:hint="default" w:eastAsia="宋体"/>
                <w:lang w:val="en-US" w:eastAsia="zh-CN"/>
              </w:rPr>
            </w:pPr>
            <w:r>
              <w:rPr>
                <w:rFonts w:hint="eastAsia"/>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rPr>
                <w:rFonts w:hint="eastAsia"/>
              </w:rPr>
              <w:t>2）绿色设施结构满足功能、安全性要求，易于维护</w:t>
            </w: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default"/>
                <w:lang w:val="en-US" w:eastAsia="zh-CN"/>
              </w:rPr>
            </w:pPr>
            <w:r>
              <w:rPr>
                <w:rFonts w:hint="eastAsia"/>
              </w:rPr>
              <w:t>3）渗滞、调蓄</w:t>
            </w:r>
            <w:r>
              <w:rPr>
                <w:rFonts w:hint="eastAsia"/>
                <w:lang w:val="en-US" w:eastAsia="zh-CN"/>
              </w:rPr>
              <w:t>等</w:t>
            </w:r>
            <w:r>
              <w:rPr>
                <w:rFonts w:hint="eastAsia"/>
              </w:rPr>
              <w:t>绿色设施排空时间</w:t>
            </w:r>
            <w:r>
              <w:rPr>
                <w:rFonts w:hint="eastAsia"/>
                <w:lang w:val="en-US" w:eastAsia="zh-CN"/>
              </w:rPr>
              <w:t>符合有关标准要求，并考虑悬浮物（SS）去除效果、径流体积控制效果、蚊蝇滋生等问题</w:t>
            </w: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rPr>
            </w:pPr>
            <w:r>
              <w:rPr>
                <w:rFonts w:hint="eastAsia"/>
              </w:rPr>
              <w:t>4）绿色设施承接屋面雨水，并设置相应消能防冲刷措施；或在雨落管末端设置雨水桶，收集净化后就地回用</w:t>
            </w:r>
          </w:p>
        </w:tc>
        <w:tc>
          <w:tcPr>
            <w:tcW w:w="345" w:type="pct"/>
            <w:shd w:val="clear" w:color="auto" w:fill="auto"/>
            <w:vAlign w:val="center"/>
          </w:tcPr>
          <w:p>
            <w:pPr>
              <w:pStyle w:val="14"/>
              <w:rPr>
                <w:rFonts w:hint="eastAsia" w:eastAsia="宋体"/>
                <w:lang w:eastAsia="zh-CN"/>
              </w:rPr>
            </w:pPr>
            <w:r>
              <w:rPr>
                <w:rFonts w:hint="eastAsia"/>
                <w:lang w:val="en-US" w:eastAsia="zh-CN"/>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default"/>
                <w:lang w:val="en-US" w:eastAsia="zh-CN"/>
              </w:rPr>
            </w:pPr>
            <w:r>
              <w:rPr>
                <w:rFonts w:hint="eastAsia"/>
              </w:rPr>
              <w:t>5）</w:t>
            </w:r>
            <w:r>
              <w:rPr>
                <w:rFonts w:hint="eastAsia"/>
                <w:lang w:val="en-US" w:eastAsia="zh-CN"/>
              </w:rPr>
              <w:t>绿色设施与景观协同设计，</w:t>
            </w:r>
            <w:r>
              <w:rPr>
                <w:rFonts w:hint="eastAsia"/>
              </w:rPr>
              <w:t>成为</w:t>
            </w:r>
            <w:r>
              <w:rPr>
                <w:rFonts w:hint="eastAsia"/>
                <w:lang w:val="en-US" w:eastAsia="zh-CN"/>
              </w:rPr>
              <w:t>景观主要节点</w:t>
            </w:r>
          </w:p>
        </w:tc>
        <w:tc>
          <w:tcPr>
            <w:tcW w:w="345" w:type="pct"/>
            <w:shd w:val="clear" w:color="auto" w:fill="auto"/>
            <w:vAlign w:val="center"/>
          </w:tcPr>
          <w:p>
            <w:pPr>
              <w:pStyle w:val="14"/>
              <w:rPr>
                <w:rFonts w:hint="eastAsia"/>
              </w:rPr>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rPr>
            </w:pPr>
            <w:r>
              <w:rPr>
                <w:rFonts w:hint="eastAsia"/>
                <w:lang w:val="en-US" w:eastAsia="zh-CN"/>
              </w:rPr>
              <w:t>6）绿色设施内块石、碎石的选择、摆放与景观融合度高，与周边植物搭配合理</w:t>
            </w:r>
          </w:p>
        </w:tc>
        <w:tc>
          <w:tcPr>
            <w:tcW w:w="345" w:type="pct"/>
            <w:shd w:val="clear" w:color="auto" w:fill="auto"/>
            <w:vAlign w:val="center"/>
          </w:tcPr>
          <w:p>
            <w:pPr>
              <w:pStyle w:val="14"/>
              <w:rPr>
                <w:rFonts w:hint="eastAsia"/>
                <w:lang w:val="en-US" w:eastAsia="zh-CN"/>
              </w:rPr>
            </w:pPr>
            <w:r>
              <w:rPr>
                <w:rFonts w:hint="eastAsia"/>
                <w:lang w:val="en-US" w:eastAsia="zh-CN"/>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lang w:val="en-US" w:eastAsia="zh-CN"/>
              </w:rPr>
            </w:pPr>
            <w:r>
              <w:rPr>
                <w:rFonts w:hint="eastAsia"/>
                <w:lang w:val="en-US" w:eastAsia="zh-CN"/>
              </w:rPr>
              <w:t>7）绿色设施进水区植物具有耐冲刷性，蓄水区植物具有耐淹、抗污、抗旱性，耐淹能力与设计排空时间相符</w:t>
            </w:r>
          </w:p>
        </w:tc>
        <w:tc>
          <w:tcPr>
            <w:tcW w:w="345" w:type="pct"/>
            <w:shd w:val="clear" w:color="auto" w:fill="auto"/>
            <w:vAlign w:val="center"/>
          </w:tcPr>
          <w:p>
            <w:pPr>
              <w:pStyle w:val="14"/>
              <w:rPr>
                <w:rFonts w:hint="default"/>
                <w:lang w:val="en-US" w:eastAsia="zh-CN"/>
              </w:rPr>
            </w:pPr>
            <w:r>
              <w:rPr>
                <w:rFonts w:hint="eastAsia"/>
                <w:lang w:val="en-US" w:eastAsia="zh-CN"/>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restart"/>
            <w:shd w:val="clear" w:color="auto" w:fill="auto"/>
            <w:vAlign w:val="center"/>
          </w:tcPr>
          <w:p>
            <w:pPr>
              <w:pStyle w:val="14"/>
            </w:pPr>
            <w:r>
              <w:rPr>
                <w:rFonts w:hint="eastAsia"/>
              </w:rPr>
              <w:t>11</w:t>
            </w:r>
          </w:p>
        </w:tc>
        <w:tc>
          <w:tcPr>
            <w:tcW w:w="684" w:type="pct"/>
            <w:vMerge w:val="restart"/>
            <w:shd w:val="clear" w:color="auto" w:fill="auto"/>
            <w:vAlign w:val="center"/>
          </w:tcPr>
          <w:p>
            <w:pPr>
              <w:pStyle w:val="14"/>
            </w:pPr>
            <w:r>
              <w:rPr>
                <w:rFonts w:hint="eastAsia"/>
              </w:rPr>
              <w:t>溢流雨水口设置</w:t>
            </w:r>
          </w:p>
        </w:tc>
        <w:tc>
          <w:tcPr>
            <w:tcW w:w="3297" w:type="pct"/>
            <w:shd w:val="clear" w:color="auto" w:fill="auto"/>
            <w:vAlign w:val="center"/>
          </w:tcPr>
          <w:p>
            <w:pPr>
              <w:pStyle w:val="14"/>
              <w:rPr>
                <w:rFonts w:hint="eastAsia"/>
              </w:rPr>
            </w:pPr>
            <w:r>
              <w:rPr>
                <w:rFonts w:hint="eastAsia"/>
              </w:rPr>
              <w:t>1）设计道路、铺装高于</w:t>
            </w:r>
            <w:r>
              <w:rPr>
                <w:rFonts w:hint="eastAsia"/>
                <w:lang w:val="en-US" w:eastAsia="zh-CN"/>
              </w:rPr>
              <w:t>周边</w:t>
            </w:r>
            <w:r>
              <w:rPr>
                <w:rFonts w:hint="eastAsia"/>
              </w:rPr>
              <w:t>绿地，道路</w:t>
            </w:r>
            <w:r>
              <w:rPr>
                <w:rFonts w:hint="eastAsia"/>
                <w:lang w:val="en-US" w:eastAsia="zh-CN"/>
              </w:rPr>
              <w:t>和</w:t>
            </w:r>
            <w:r>
              <w:rPr>
                <w:rFonts w:hint="eastAsia"/>
              </w:rPr>
              <w:t>铺装地面雨水</w:t>
            </w:r>
            <w:r>
              <w:rPr>
                <w:rFonts w:hint="eastAsia"/>
                <w:lang w:val="en-US" w:eastAsia="zh-CN"/>
              </w:rPr>
              <w:t>均</w:t>
            </w:r>
            <w:r>
              <w:rPr>
                <w:rFonts w:hint="eastAsia"/>
              </w:rPr>
              <w:t>可顺利流入绿地</w:t>
            </w:r>
          </w:p>
        </w:tc>
        <w:tc>
          <w:tcPr>
            <w:tcW w:w="345" w:type="pct"/>
            <w:shd w:val="clear" w:color="auto" w:fill="auto"/>
            <w:vAlign w:val="center"/>
          </w:tcPr>
          <w:p>
            <w:pPr>
              <w:pStyle w:val="14"/>
              <w:rPr>
                <w:rFonts w:hint="eastAsia" w:eastAsia="宋体"/>
                <w:lang w:eastAsia="zh-CN"/>
              </w:rPr>
            </w:pPr>
            <w:r>
              <w:rPr>
                <w:rFonts w:hint="eastAsia"/>
                <w:lang w:val="en-US" w:eastAsia="zh-CN"/>
              </w:rPr>
              <w:t>2</w:t>
            </w:r>
          </w:p>
        </w:tc>
        <w:tc>
          <w:tcPr>
            <w:tcW w:w="345" w:type="pct"/>
            <w:vMerge w:val="restart"/>
            <w:shd w:val="clear" w:color="auto" w:fill="auto"/>
            <w:vAlign w:val="center"/>
          </w:tcPr>
          <w:p>
            <w:pPr>
              <w:pStyle w:val="14"/>
              <w:rPr>
                <w:rFonts w:hint="eastAsia" w:eastAsia="宋体"/>
                <w:lang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eastAsia="宋体"/>
                <w:lang w:val="en-US" w:eastAsia="zh-CN"/>
              </w:rPr>
            </w:pPr>
            <w:r>
              <w:rPr>
                <w:rFonts w:hint="eastAsia"/>
              </w:rPr>
              <w:t>2）</w:t>
            </w:r>
            <w:r>
              <w:rPr>
                <w:rFonts w:hint="eastAsia"/>
                <w:lang w:eastAsia="zh-CN"/>
              </w:rPr>
              <w:t>溢流雨水口高程设置符合蓄排要求，井边缘经过美化处理，与绿地景观衔接良好</w:t>
            </w: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restart"/>
            <w:shd w:val="clear" w:color="auto" w:fill="auto"/>
            <w:vAlign w:val="center"/>
          </w:tcPr>
          <w:p>
            <w:pPr>
              <w:pStyle w:val="14"/>
            </w:pPr>
            <w:r>
              <w:rPr>
                <w:rFonts w:hint="eastAsia"/>
              </w:rPr>
              <w:t>12</w:t>
            </w:r>
          </w:p>
        </w:tc>
        <w:tc>
          <w:tcPr>
            <w:tcW w:w="684" w:type="pct"/>
            <w:vMerge w:val="restart"/>
            <w:shd w:val="clear" w:color="auto" w:fill="auto"/>
            <w:vAlign w:val="center"/>
          </w:tcPr>
          <w:p>
            <w:pPr>
              <w:pStyle w:val="14"/>
            </w:pPr>
            <w:r>
              <w:rPr>
                <w:rFonts w:hint="eastAsia"/>
              </w:rPr>
              <w:t>优化雨水收集处理工艺</w:t>
            </w:r>
          </w:p>
        </w:tc>
        <w:tc>
          <w:tcPr>
            <w:tcW w:w="3297" w:type="pct"/>
            <w:shd w:val="clear" w:color="auto" w:fill="auto"/>
            <w:vAlign w:val="center"/>
          </w:tcPr>
          <w:p>
            <w:pPr>
              <w:pStyle w:val="14"/>
              <w:rPr>
                <w:rFonts w:hint="default"/>
                <w:lang w:val="en-US" w:eastAsia="zh-CN"/>
              </w:rPr>
            </w:pPr>
            <w:r>
              <w:rPr>
                <w:rFonts w:hint="eastAsia"/>
              </w:rPr>
              <w:t>1）雨水蓄水池</w:t>
            </w:r>
            <w:r>
              <w:rPr>
                <w:rFonts w:hint="eastAsia"/>
                <w:lang w:val="en-US" w:eastAsia="zh-CN"/>
              </w:rPr>
              <w:t>有池体顶部和侧向荷载计算过程，地下水较高的区域有池体抗浮稳定计算过程</w:t>
            </w:r>
          </w:p>
        </w:tc>
        <w:tc>
          <w:tcPr>
            <w:tcW w:w="345" w:type="pct"/>
            <w:shd w:val="clear" w:color="auto" w:fill="auto"/>
            <w:vAlign w:val="center"/>
          </w:tcPr>
          <w:p>
            <w:pPr>
              <w:pStyle w:val="14"/>
              <w:rPr>
                <w:rFonts w:hint="eastAsia" w:eastAsia="宋体"/>
                <w:lang w:eastAsia="zh-CN"/>
              </w:rPr>
            </w:pPr>
            <w:r>
              <w:rPr>
                <w:rFonts w:hint="eastAsia"/>
                <w:lang w:val="en-US" w:eastAsia="zh-CN"/>
              </w:rPr>
              <w:t>2</w:t>
            </w:r>
          </w:p>
        </w:tc>
        <w:tc>
          <w:tcPr>
            <w:tcW w:w="345" w:type="pct"/>
            <w:vMerge w:val="restart"/>
            <w:shd w:val="clear" w:color="auto" w:fill="auto"/>
            <w:vAlign w:val="center"/>
          </w:tcPr>
          <w:p>
            <w:pPr>
              <w:pStyle w:val="14"/>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ind w:firstLine="0" w:firstLineChars="0"/>
              <w:rPr>
                <w:rFonts w:hint="eastAsia" w:ascii="Times New Roman" w:hAnsi="Times New Roman" w:eastAsia="宋体" w:cstheme="minorBidi"/>
                <w:kern w:val="2"/>
                <w:sz w:val="21"/>
                <w:szCs w:val="24"/>
                <w:lang w:val="en-US" w:eastAsia="zh-CN" w:bidi="ar-SA"/>
              </w:rPr>
            </w:pPr>
            <w:r>
              <w:rPr>
                <w:rFonts w:hint="eastAsia"/>
              </w:rPr>
              <w:t>2）雨水径流进入调蓄池前设有绿色预处理设施且设施设计合理</w:t>
            </w: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rPr>
                <w:rFonts w:hint="eastAsia"/>
              </w:rPr>
              <w:t>3）调蓄池有效容积大于等于其服务范围的径流体积与海绵城市设施控制径流体积之差</w:t>
            </w:r>
          </w:p>
          <w:p>
            <w:pPr>
              <w:pStyle w:val="14"/>
            </w:pP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rPr>
                <w:rFonts w:hint="eastAsia"/>
              </w:rPr>
              <w:t>4）雨水利用蓄水池便于清洗</w:t>
            </w: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rPr>
            </w:pPr>
            <w:r>
              <w:rPr>
                <w:rFonts w:hint="eastAsia"/>
                <w:lang w:val="en-US" w:eastAsia="zh-CN"/>
              </w:rPr>
              <w:t>5</w:t>
            </w:r>
            <w:r>
              <w:rPr>
                <w:rFonts w:hint="eastAsia"/>
              </w:rPr>
              <w:t>）设置雨水深度处理措施，深度处理工艺水质达到景观回用水标准</w:t>
            </w:r>
          </w:p>
        </w:tc>
        <w:tc>
          <w:tcPr>
            <w:tcW w:w="345" w:type="pct"/>
            <w:shd w:val="clear" w:color="auto" w:fill="auto"/>
            <w:vAlign w:val="center"/>
          </w:tcPr>
          <w:p>
            <w:pPr>
              <w:pStyle w:val="14"/>
            </w:pPr>
            <w: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restart"/>
            <w:shd w:val="clear" w:color="auto" w:fill="auto"/>
            <w:vAlign w:val="center"/>
          </w:tcPr>
          <w:p>
            <w:pPr>
              <w:pStyle w:val="14"/>
            </w:pPr>
            <w:r>
              <w:rPr>
                <w:rFonts w:hint="eastAsia"/>
              </w:rPr>
              <w:t>13</w:t>
            </w:r>
          </w:p>
        </w:tc>
        <w:tc>
          <w:tcPr>
            <w:tcW w:w="684" w:type="pct"/>
            <w:vMerge w:val="restart"/>
            <w:shd w:val="clear" w:color="auto" w:fill="auto"/>
            <w:vAlign w:val="center"/>
          </w:tcPr>
          <w:p>
            <w:pPr>
              <w:pStyle w:val="14"/>
            </w:pPr>
            <w:r>
              <w:rPr>
                <w:rFonts w:hint="eastAsia"/>
              </w:rPr>
              <w:t>地下建筑顶板上覆土设置绿色设施</w:t>
            </w:r>
          </w:p>
        </w:tc>
        <w:tc>
          <w:tcPr>
            <w:tcW w:w="3297" w:type="pct"/>
            <w:shd w:val="clear" w:color="auto" w:fill="auto"/>
            <w:vAlign w:val="center"/>
          </w:tcPr>
          <w:p>
            <w:pPr>
              <w:pStyle w:val="14"/>
              <w:rPr>
                <w:rFonts w:hint="eastAsia"/>
                <w:lang w:eastAsia="zh-CN"/>
              </w:rPr>
            </w:pPr>
            <w:r>
              <w:rPr>
                <w:rFonts w:hint="eastAsia"/>
              </w:rPr>
              <w:t>1）</w:t>
            </w:r>
            <w:r>
              <w:rPr>
                <w:rFonts w:hint="eastAsia"/>
                <w:lang w:val="en-US" w:eastAsia="zh-CN"/>
              </w:rPr>
              <w:t>车库顶板平均</w:t>
            </w:r>
            <w:r>
              <w:rPr>
                <w:rFonts w:hint="eastAsia"/>
              </w:rPr>
              <w:t>覆土厚度不低于lm</w:t>
            </w:r>
            <w:r>
              <w:rPr>
                <w:rFonts w:hint="eastAsia"/>
                <w:lang w:eastAsia="zh-CN"/>
              </w:rPr>
              <w:t>（</w:t>
            </w:r>
            <w:r>
              <w:rPr>
                <w:rFonts w:hint="eastAsia"/>
              </w:rPr>
              <w:t>抬板区域、反梁区域</w:t>
            </w:r>
            <w:r>
              <w:rPr>
                <w:rFonts w:hint="eastAsia"/>
                <w:lang w:val="en-US" w:eastAsia="zh-CN"/>
              </w:rPr>
              <w:t>除外</w:t>
            </w:r>
            <w:r>
              <w:rPr>
                <w:rFonts w:hint="eastAsia"/>
                <w:lang w:eastAsia="zh-CN"/>
              </w:rPr>
              <w:t>）</w:t>
            </w:r>
          </w:p>
        </w:tc>
        <w:tc>
          <w:tcPr>
            <w:tcW w:w="345" w:type="pct"/>
            <w:shd w:val="clear" w:color="auto" w:fill="auto"/>
            <w:vAlign w:val="center"/>
          </w:tcPr>
          <w:p>
            <w:pPr>
              <w:pStyle w:val="14"/>
            </w:pPr>
            <w:r>
              <w:t>2</w:t>
            </w:r>
          </w:p>
        </w:tc>
        <w:tc>
          <w:tcPr>
            <w:tcW w:w="345" w:type="pct"/>
            <w:vMerge w:val="restart"/>
            <w:shd w:val="clear" w:color="auto" w:fill="auto"/>
            <w:vAlign w:val="center"/>
          </w:tcPr>
          <w:p>
            <w:pPr>
              <w:pStyle w:val="14"/>
            </w:pPr>
            <w:r>
              <w:rPr>
                <w:rFonts w:hint="eastAsi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rPr>
            </w:pPr>
            <w:r>
              <w:rPr>
                <w:rFonts w:hint="eastAsia"/>
              </w:rPr>
              <w:t>2）地下建筑顶板</w:t>
            </w:r>
            <w:r>
              <w:rPr>
                <w:rFonts w:hint="eastAsia"/>
                <w:lang w:val="en-US" w:eastAsia="zh-CN"/>
              </w:rPr>
              <w:t>上方</w:t>
            </w:r>
            <w:r>
              <w:rPr>
                <w:rFonts w:hint="eastAsia"/>
              </w:rPr>
              <w:t>设置完善的防排水措施</w:t>
            </w:r>
          </w:p>
        </w:tc>
        <w:tc>
          <w:tcPr>
            <w:tcW w:w="345" w:type="pct"/>
            <w:shd w:val="clear" w:color="auto" w:fill="auto"/>
            <w:vAlign w:val="center"/>
          </w:tcPr>
          <w:p>
            <w:pPr>
              <w:pStyle w:val="14"/>
            </w:pPr>
            <w: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1" w:hRule="exact"/>
          <w:jc w:val="center"/>
        </w:trPr>
        <w:tc>
          <w:tcPr>
            <w:tcW w:w="327" w:type="pct"/>
            <w:shd w:val="clear" w:color="auto" w:fill="auto"/>
            <w:vAlign w:val="center"/>
          </w:tcPr>
          <w:p>
            <w:pPr>
              <w:pStyle w:val="14"/>
            </w:pPr>
            <w:r>
              <w:rPr>
                <w:rFonts w:hint="eastAsia"/>
              </w:rPr>
              <w:t>14</w:t>
            </w:r>
          </w:p>
        </w:tc>
        <w:tc>
          <w:tcPr>
            <w:tcW w:w="684" w:type="pct"/>
            <w:shd w:val="clear" w:color="auto" w:fill="auto"/>
            <w:vAlign w:val="center"/>
          </w:tcPr>
          <w:p>
            <w:pPr>
              <w:pStyle w:val="14"/>
            </w:pPr>
            <w:r>
              <w:rPr>
                <w:rFonts w:hint="eastAsia"/>
              </w:rPr>
              <w:t>合理设置安全防护设施</w:t>
            </w:r>
          </w:p>
        </w:tc>
        <w:tc>
          <w:tcPr>
            <w:tcW w:w="3297" w:type="pct"/>
            <w:shd w:val="clear" w:color="auto" w:fill="auto"/>
            <w:vAlign w:val="center"/>
          </w:tcPr>
          <w:p>
            <w:pPr>
              <w:pStyle w:val="14"/>
              <w:rPr>
                <w:rFonts w:hint="eastAsia"/>
              </w:rPr>
            </w:pPr>
            <w:r>
              <w:rPr>
                <w:rFonts w:hint="eastAsia"/>
              </w:rPr>
              <w:t>对于径流污染严重、设施底部渗透面距离季节性最高地下水位或岩石层小于1m及距离建筑物基础小于3m（水平距离）的区域以及湿陷性黄土地区、煤矿采空区，应采取必要的防渗措施</w:t>
            </w:r>
          </w:p>
        </w:tc>
        <w:tc>
          <w:tcPr>
            <w:tcW w:w="345" w:type="pct"/>
            <w:shd w:val="clear" w:color="auto" w:fill="auto"/>
            <w:vAlign w:val="center"/>
          </w:tcPr>
          <w:p>
            <w:pPr>
              <w:pStyle w:val="14"/>
            </w:pPr>
            <w:r>
              <w:rPr>
                <w:rFonts w:hint="eastAsia"/>
              </w:rPr>
              <w:t>3</w:t>
            </w:r>
          </w:p>
        </w:tc>
        <w:tc>
          <w:tcPr>
            <w:tcW w:w="345" w:type="pct"/>
            <w:shd w:val="clear" w:color="auto" w:fill="auto"/>
            <w:vAlign w:val="center"/>
          </w:tcPr>
          <w:p>
            <w:pPr>
              <w:pStyle w:val="14"/>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restart"/>
            <w:shd w:val="clear" w:color="auto" w:fill="auto"/>
            <w:vAlign w:val="center"/>
          </w:tcPr>
          <w:p>
            <w:pPr>
              <w:pStyle w:val="14"/>
            </w:pPr>
            <w:r>
              <w:rPr>
                <w:rFonts w:hint="eastAsia"/>
              </w:rPr>
              <w:t>15</w:t>
            </w:r>
          </w:p>
          <w:p>
            <w:pPr>
              <w:pStyle w:val="14"/>
            </w:pPr>
          </w:p>
        </w:tc>
        <w:tc>
          <w:tcPr>
            <w:tcW w:w="684" w:type="pct"/>
            <w:vMerge w:val="restart"/>
            <w:shd w:val="clear" w:color="auto" w:fill="auto"/>
            <w:vAlign w:val="center"/>
          </w:tcPr>
          <w:p>
            <w:pPr>
              <w:pStyle w:val="14"/>
            </w:pPr>
            <w:r>
              <w:rPr>
                <w:rFonts w:hint="eastAsia"/>
              </w:rPr>
              <w:t>通过低影响开发设施建设提高经济效益</w:t>
            </w:r>
          </w:p>
        </w:tc>
        <w:tc>
          <w:tcPr>
            <w:tcW w:w="3297" w:type="pct"/>
            <w:shd w:val="clear" w:color="auto" w:fill="auto"/>
            <w:vAlign w:val="center"/>
          </w:tcPr>
          <w:p>
            <w:pPr>
              <w:pStyle w:val="14"/>
            </w:pPr>
            <w:r>
              <w:rPr>
                <w:rFonts w:hint="eastAsia"/>
              </w:rPr>
              <w:t>1）室外景观水体采用雨水作为补水水源</w:t>
            </w:r>
          </w:p>
        </w:tc>
        <w:tc>
          <w:tcPr>
            <w:tcW w:w="345" w:type="pct"/>
            <w:shd w:val="clear" w:color="auto" w:fill="auto"/>
            <w:vAlign w:val="center"/>
          </w:tcPr>
          <w:p>
            <w:pPr>
              <w:pStyle w:val="14"/>
            </w:pPr>
            <w:r>
              <w:t>2</w:t>
            </w:r>
          </w:p>
        </w:tc>
        <w:tc>
          <w:tcPr>
            <w:tcW w:w="345" w:type="pct"/>
            <w:vMerge w:val="restart"/>
            <w:shd w:val="clear" w:color="auto" w:fill="auto"/>
            <w:vAlign w:val="center"/>
          </w:tcPr>
          <w:p>
            <w:pPr>
              <w:pStyle w:val="14"/>
              <w:rPr>
                <w:rFonts w:hint="eastAsia" w:eastAsia="宋体"/>
                <w:lang w:eastAsia="zh-CN"/>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bidi w:val="0"/>
            </w:pPr>
            <w:r>
              <w:rPr>
                <w:rFonts w:hint="eastAsia"/>
              </w:rPr>
              <w:t>2）对进入室外景观水体的雨水，利用生态设施</w:t>
            </w:r>
            <w:r>
              <w:rPr>
                <w:rFonts w:hint="eastAsia"/>
                <w:lang w:val="en-US" w:eastAsia="zh-CN"/>
              </w:rPr>
              <w:t>净化水质</w:t>
            </w:r>
          </w:p>
        </w:tc>
        <w:tc>
          <w:tcPr>
            <w:tcW w:w="345" w:type="pct"/>
            <w:shd w:val="clear" w:color="auto" w:fill="auto"/>
            <w:vAlign w:val="center"/>
          </w:tcPr>
          <w:p>
            <w:pPr>
              <w:pStyle w:val="14"/>
              <w:rPr>
                <w:rFonts w:hint="eastAsia" w:eastAsia="宋体"/>
                <w:lang w:eastAsia="zh-CN"/>
              </w:rPr>
            </w:pPr>
            <w:r>
              <w:rPr>
                <w:rFonts w:hint="eastAsia"/>
                <w:lang w:val="en-US" w:eastAsia="zh-CN"/>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rPr>
                <w:rFonts w:hint="eastAsia"/>
                <w:lang w:val="en-US" w:eastAsia="zh-CN"/>
              </w:rPr>
              <w:t>3</w:t>
            </w:r>
            <w:r>
              <w:rPr>
                <w:rFonts w:hint="eastAsia"/>
              </w:rPr>
              <w:t>）采用植草沟、渗沟、边沟等地面排水系统代替雨水管道，雨水组织顺畅</w:t>
            </w: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rPr>
                <w:rFonts w:hint="eastAsia"/>
                <w:lang w:val="en-US" w:eastAsia="zh-CN"/>
              </w:rPr>
              <w:t>4</w:t>
            </w:r>
            <w:r>
              <w:rPr>
                <w:rFonts w:hint="eastAsia"/>
              </w:rPr>
              <w:t>）雨水花园融入项目景观的核心节点</w:t>
            </w:r>
          </w:p>
        </w:tc>
        <w:tc>
          <w:tcPr>
            <w:tcW w:w="345" w:type="pct"/>
            <w:shd w:val="clear" w:color="auto" w:fill="auto"/>
            <w:vAlign w:val="center"/>
          </w:tcPr>
          <w:p>
            <w:pPr>
              <w:pStyle w:val="14"/>
            </w:pPr>
            <w:r>
              <w:rPr>
                <w:rFonts w:hint="eastAsia"/>
              </w:rPr>
              <w:t>2</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restart"/>
            <w:shd w:val="clear" w:color="auto" w:fill="auto"/>
            <w:vAlign w:val="center"/>
          </w:tcPr>
          <w:p>
            <w:pPr>
              <w:pStyle w:val="14"/>
            </w:pPr>
            <w:r>
              <w:rPr>
                <w:rFonts w:hint="eastAsia"/>
              </w:rPr>
              <w:t>16</w:t>
            </w:r>
          </w:p>
        </w:tc>
        <w:tc>
          <w:tcPr>
            <w:tcW w:w="684" w:type="pct"/>
            <w:vMerge w:val="restart"/>
            <w:shd w:val="clear" w:color="auto" w:fill="auto"/>
            <w:vAlign w:val="center"/>
          </w:tcPr>
          <w:p>
            <w:pPr>
              <w:pStyle w:val="14"/>
            </w:pPr>
            <w:r>
              <w:rPr>
                <w:rFonts w:hint="eastAsia"/>
              </w:rPr>
              <w:t>绿色设施植物配置合理</w:t>
            </w:r>
          </w:p>
        </w:tc>
        <w:tc>
          <w:tcPr>
            <w:tcW w:w="3297" w:type="pct"/>
            <w:shd w:val="clear" w:color="auto" w:fill="auto"/>
            <w:vAlign w:val="center"/>
          </w:tcPr>
          <w:p>
            <w:pPr>
              <w:pStyle w:val="14"/>
              <w:numPr>
                <w:ilvl w:val="0"/>
                <w:numId w:val="1"/>
              </w:numPr>
              <w:rPr>
                <w:rFonts w:hint="eastAsia"/>
              </w:rPr>
            </w:pPr>
            <w:r>
              <w:rPr>
                <w:rFonts w:hint="eastAsia"/>
              </w:rPr>
              <w:t>乡土植物</w:t>
            </w:r>
            <w:r>
              <w:rPr>
                <w:rFonts w:hint="eastAsia"/>
                <w:lang w:val="en-US" w:eastAsia="zh-CN"/>
              </w:rPr>
              <w:t>种植面积占海绵城市设施绿化面积的比例</w:t>
            </w:r>
            <w:r>
              <w:rPr>
                <w:rFonts w:hint="eastAsia"/>
              </w:rPr>
              <w:t>不低于0.6</w:t>
            </w:r>
          </w:p>
        </w:tc>
        <w:tc>
          <w:tcPr>
            <w:tcW w:w="345" w:type="pct"/>
            <w:shd w:val="clear" w:color="auto" w:fill="auto"/>
            <w:vAlign w:val="center"/>
          </w:tcPr>
          <w:p>
            <w:pPr>
              <w:pStyle w:val="14"/>
            </w:pPr>
            <w:r>
              <w:t>1</w:t>
            </w:r>
          </w:p>
        </w:tc>
        <w:tc>
          <w:tcPr>
            <w:tcW w:w="345" w:type="pct"/>
            <w:vMerge w:val="restart"/>
            <w:shd w:val="clear" w:color="auto" w:fill="auto"/>
            <w:vAlign w:val="center"/>
          </w:tcPr>
          <w:p>
            <w:pPr>
              <w:pStyle w:val="14"/>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t>2</w:t>
            </w:r>
            <w:r>
              <w:rPr>
                <w:rFonts w:hint="eastAsia"/>
              </w:rPr>
              <w:t>）采用耐淹耐旱植物，具有良好的水质净化性能</w:t>
            </w:r>
          </w:p>
        </w:tc>
        <w:tc>
          <w:tcPr>
            <w:tcW w:w="345" w:type="pct"/>
            <w:shd w:val="clear" w:color="auto" w:fill="auto"/>
            <w:vAlign w:val="center"/>
          </w:tcPr>
          <w:p>
            <w:pPr>
              <w:pStyle w:val="14"/>
            </w:pPr>
            <w:r>
              <w:t>1</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pPr>
            <w:r>
              <w:rPr>
                <w:rFonts w:hint="eastAsia"/>
              </w:rPr>
              <w:t>3）</w:t>
            </w:r>
            <w:r>
              <w:rPr>
                <w:rFonts w:hint="eastAsia"/>
                <w:lang w:val="en-US" w:eastAsia="zh-CN"/>
              </w:rPr>
              <w:t>单项设施物种数量不小于3类，</w:t>
            </w:r>
            <w:r>
              <w:rPr>
                <w:rFonts w:hint="eastAsia"/>
              </w:rPr>
              <w:t>乔灌草植物的比例搭配合理</w:t>
            </w:r>
          </w:p>
        </w:tc>
        <w:tc>
          <w:tcPr>
            <w:tcW w:w="345" w:type="pct"/>
            <w:shd w:val="clear" w:color="auto" w:fill="auto"/>
            <w:vAlign w:val="center"/>
          </w:tcPr>
          <w:p>
            <w:pPr>
              <w:pStyle w:val="14"/>
            </w:pPr>
            <w:r>
              <w:t>1</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default"/>
                <w:lang w:val="en-US" w:eastAsia="zh-CN"/>
              </w:rPr>
            </w:pPr>
            <w:r>
              <w:rPr>
                <w:rFonts w:hint="eastAsia"/>
              </w:rPr>
              <w:t>4）植物色彩配置感官良好，季相变化丰富</w:t>
            </w:r>
            <w:r>
              <w:rPr>
                <w:rFonts w:hint="eastAsia"/>
                <w:lang w:eastAsia="zh-CN"/>
              </w:rPr>
              <w:t>，</w:t>
            </w:r>
            <w:r>
              <w:rPr>
                <w:rFonts w:hint="eastAsia"/>
                <w:lang w:val="en-US" w:eastAsia="zh-CN"/>
              </w:rPr>
              <w:t>注重冬季效果</w:t>
            </w:r>
          </w:p>
        </w:tc>
        <w:tc>
          <w:tcPr>
            <w:tcW w:w="345" w:type="pct"/>
            <w:shd w:val="clear" w:color="auto" w:fill="auto"/>
            <w:vAlign w:val="center"/>
          </w:tcPr>
          <w:p>
            <w:pPr>
              <w:pStyle w:val="14"/>
            </w:pPr>
            <w:r>
              <w:t>1</w:t>
            </w:r>
          </w:p>
        </w:tc>
        <w:tc>
          <w:tcPr>
            <w:tcW w:w="345"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7" w:type="pct"/>
            <w:vMerge w:val="continue"/>
            <w:shd w:val="clear" w:color="auto" w:fill="auto"/>
            <w:vAlign w:val="center"/>
          </w:tcPr>
          <w:p>
            <w:pPr>
              <w:pStyle w:val="14"/>
            </w:pPr>
          </w:p>
        </w:tc>
        <w:tc>
          <w:tcPr>
            <w:tcW w:w="684" w:type="pct"/>
            <w:vMerge w:val="continue"/>
            <w:shd w:val="clear" w:color="auto" w:fill="auto"/>
            <w:vAlign w:val="center"/>
          </w:tcPr>
          <w:p>
            <w:pPr>
              <w:pStyle w:val="14"/>
            </w:pPr>
          </w:p>
        </w:tc>
        <w:tc>
          <w:tcPr>
            <w:tcW w:w="3297" w:type="pct"/>
            <w:shd w:val="clear" w:color="auto" w:fill="auto"/>
            <w:vAlign w:val="center"/>
          </w:tcPr>
          <w:p>
            <w:pPr>
              <w:pStyle w:val="14"/>
              <w:rPr>
                <w:rFonts w:hint="eastAsia"/>
              </w:rPr>
            </w:pPr>
            <w:r>
              <w:rPr>
                <w:rFonts w:hint="eastAsia"/>
              </w:rPr>
              <w:t>5）绿色设施配置具有驱蚊虫功能的植物</w:t>
            </w:r>
          </w:p>
        </w:tc>
        <w:tc>
          <w:tcPr>
            <w:tcW w:w="345" w:type="pct"/>
            <w:shd w:val="clear" w:color="auto" w:fill="auto"/>
            <w:vAlign w:val="center"/>
          </w:tcPr>
          <w:p>
            <w:pPr>
              <w:pStyle w:val="14"/>
            </w:pPr>
            <w:r>
              <w:rPr>
                <w:rFonts w:hint="eastAsia"/>
              </w:rPr>
              <w:t>1</w:t>
            </w:r>
          </w:p>
        </w:tc>
        <w:tc>
          <w:tcPr>
            <w:tcW w:w="345" w:type="pct"/>
            <w:vMerge w:val="continue"/>
            <w:shd w:val="clear" w:color="auto" w:fill="auto"/>
            <w:vAlign w:val="center"/>
          </w:tcPr>
          <w:p>
            <w:pPr>
              <w:pStyle w:val="14"/>
            </w:pPr>
          </w:p>
        </w:tc>
      </w:tr>
    </w:tbl>
    <w:p>
      <w:pPr>
        <w:rPr>
          <w:szCs w:val="32"/>
        </w:rPr>
      </w:pPr>
      <w:r>
        <w:rPr>
          <w:szCs w:val="32"/>
        </w:rPr>
        <w:br w:type="page"/>
      </w:r>
    </w:p>
    <w:p>
      <w:pPr>
        <w:pStyle w:val="13"/>
      </w:pPr>
      <w:r>
        <w:t>Ⅲ设计文件规范性（</w:t>
      </w:r>
      <w:r>
        <w:rPr>
          <w:rFonts w:hint="eastAsia"/>
        </w:rPr>
        <w:t>10</w:t>
      </w:r>
      <w:r>
        <w:t>分）</w:t>
      </w:r>
    </w:p>
    <w:tbl>
      <w:tblPr>
        <w:tblStyle w:val="6"/>
        <w:tblW w:w="4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35"/>
        <w:gridCol w:w="1129"/>
        <w:gridCol w:w="5418"/>
        <w:gridCol w:w="56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6" w:type="pct"/>
            <w:vMerge w:val="restart"/>
            <w:shd w:val="clear" w:color="auto" w:fill="auto"/>
            <w:vAlign w:val="center"/>
          </w:tcPr>
          <w:p>
            <w:pPr>
              <w:pStyle w:val="14"/>
              <w:bidi w:val="0"/>
            </w:pPr>
            <w:r>
              <w:t>序号</w:t>
            </w:r>
          </w:p>
        </w:tc>
        <w:tc>
          <w:tcPr>
            <w:tcW w:w="3984" w:type="pct"/>
            <w:gridSpan w:val="2"/>
            <w:vMerge w:val="restart"/>
            <w:shd w:val="clear" w:color="auto" w:fill="auto"/>
            <w:vAlign w:val="center"/>
          </w:tcPr>
          <w:p>
            <w:pPr>
              <w:pStyle w:val="14"/>
              <w:bidi w:val="0"/>
            </w:pPr>
            <w:r>
              <w:t>评价标准</w:t>
            </w:r>
          </w:p>
        </w:tc>
        <w:tc>
          <w:tcPr>
            <w:tcW w:w="688" w:type="pct"/>
            <w:gridSpan w:val="2"/>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6" w:type="pct"/>
            <w:vMerge w:val="continue"/>
            <w:shd w:val="clear" w:color="auto" w:fill="auto"/>
            <w:vAlign w:val="center"/>
          </w:tcPr>
          <w:p>
            <w:pPr>
              <w:pStyle w:val="14"/>
              <w:bidi w:val="0"/>
            </w:pPr>
          </w:p>
        </w:tc>
        <w:tc>
          <w:tcPr>
            <w:tcW w:w="3984" w:type="pct"/>
            <w:gridSpan w:val="2"/>
            <w:vMerge w:val="continue"/>
            <w:shd w:val="clear" w:color="auto" w:fill="auto"/>
            <w:vAlign w:val="center"/>
          </w:tcPr>
          <w:p>
            <w:pPr>
              <w:pStyle w:val="14"/>
              <w:bidi w:val="0"/>
            </w:pPr>
          </w:p>
        </w:tc>
        <w:tc>
          <w:tcPr>
            <w:tcW w:w="343" w:type="pct"/>
            <w:shd w:val="clear" w:color="auto" w:fill="auto"/>
            <w:vAlign w:val="center"/>
          </w:tcPr>
          <w:p>
            <w:pPr>
              <w:pStyle w:val="14"/>
              <w:bidi w:val="0"/>
            </w:pPr>
            <w:r>
              <w:t>评分</w:t>
            </w:r>
          </w:p>
        </w:tc>
        <w:tc>
          <w:tcPr>
            <w:tcW w:w="345" w:type="pct"/>
            <w:shd w:val="clear" w:color="auto" w:fill="auto"/>
            <w:vAlign w:val="center"/>
          </w:tcPr>
          <w:p>
            <w:pPr>
              <w:pStyle w:val="14"/>
              <w:bidi w:val="0"/>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restart"/>
            <w:shd w:val="clear" w:color="auto" w:fill="auto"/>
            <w:vAlign w:val="center"/>
          </w:tcPr>
          <w:p>
            <w:pPr>
              <w:pStyle w:val="14"/>
              <w:bidi w:val="0"/>
            </w:pPr>
            <w:r>
              <w:rPr>
                <w:rFonts w:hint="eastAsia"/>
              </w:rPr>
              <w:t>17</w:t>
            </w:r>
          </w:p>
        </w:tc>
        <w:tc>
          <w:tcPr>
            <w:tcW w:w="687" w:type="pct"/>
            <w:vMerge w:val="restart"/>
            <w:shd w:val="clear" w:color="auto" w:fill="auto"/>
            <w:vAlign w:val="center"/>
          </w:tcPr>
          <w:p>
            <w:pPr>
              <w:pStyle w:val="14"/>
              <w:bidi w:val="0"/>
            </w:pPr>
            <w:r>
              <w:rPr>
                <w:rFonts w:hint="eastAsia"/>
              </w:rPr>
              <w:t>设计文件规范</w:t>
            </w:r>
          </w:p>
        </w:tc>
        <w:tc>
          <w:tcPr>
            <w:tcW w:w="3297" w:type="pct"/>
            <w:shd w:val="clear" w:color="auto" w:fill="auto"/>
            <w:vAlign w:val="center"/>
          </w:tcPr>
          <w:p>
            <w:pPr>
              <w:pStyle w:val="14"/>
              <w:bidi w:val="0"/>
              <w:rPr>
                <w:rFonts w:hint="eastAsia"/>
                <w:lang w:val="en-US" w:eastAsia="zh-CN"/>
              </w:rPr>
            </w:pPr>
            <w:r>
              <w:rPr>
                <w:rFonts w:hint="eastAsia"/>
                <w:lang w:val="en-US" w:eastAsia="zh-CN"/>
              </w:rPr>
              <w:t>1）各设计阶段的图件、说明、计算书、地质勘察报告齐全，满足山西省海绵城市设计文件编制深度规定要求</w:t>
            </w:r>
          </w:p>
        </w:tc>
        <w:tc>
          <w:tcPr>
            <w:tcW w:w="343" w:type="pct"/>
            <w:shd w:val="clear" w:color="auto" w:fill="auto"/>
            <w:vAlign w:val="center"/>
          </w:tcPr>
          <w:p>
            <w:pPr>
              <w:pStyle w:val="14"/>
              <w:bidi w:val="0"/>
            </w:pPr>
            <w:r>
              <w:rPr>
                <w:rFonts w:hint="eastAsia"/>
              </w:rPr>
              <w:t>1</w:t>
            </w:r>
          </w:p>
        </w:tc>
        <w:tc>
          <w:tcPr>
            <w:tcW w:w="345" w:type="pct"/>
            <w:vMerge w:val="restart"/>
            <w:shd w:val="clear" w:color="auto" w:fill="auto"/>
            <w:vAlign w:val="center"/>
          </w:tcPr>
          <w:p>
            <w:pPr>
              <w:pStyle w:val="14"/>
              <w:bidi w:val="0"/>
              <w:rPr>
                <w:rFonts w:hint="eastAsia"/>
                <w:lang w:eastAsia="zh-CN"/>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continue"/>
            <w:shd w:val="clear" w:color="auto" w:fill="auto"/>
            <w:vAlign w:val="center"/>
          </w:tcPr>
          <w:p>
            <w:pPr>
              <w:pStyle w:val="14"/>
              <w:bidi w:val="0"/>
              <w:rPr>
                <w:rFonts w:hint="eastAsia"/>
              </w:rPr>
            </w:pPr>
          </w:p>
        </w:tc>
        <w:tc>
          <w:tcPr>
            <w:tcW w:w="687" w:type="pct"/>
            <w:vMerge w:val="continue"/>
            <w:shd w:val="clear" w:color="auto" w:fill="auto"/>
            <w:vAlign w:val="center"/>
          </w:tcPr>
          <w:p>
            <w:pPr>
              <w:pStyle w:val="14"/>
              <w:bidi w:val="0"/>
              <w:rPr>
                <w:rFonts w:hint="eastAsia"/>
              </w:rPr>
            </w:pPr>
          </w:p>
        </w:tc>
        <w:tc>
          <w:tcPr>
            <w:tcW w:w="3297" w:type="pct"/>
            <w:shd w:val="clear" w:color="auto" w:fill="auto"/>
            <w:vAlign w:val="center"/>
          </w:tcPr>
          <w:p>
            <w:pPr>
              <w:pStyle w:val="14"/>
              <w:bidi w:val="0"/>
              <w:rPr>
                <w:rFonts w:hint="default"/>
                <w:lang w:val="en-US" w:eastAsia="zh-CN"/>
              </w:rPr>
            </w:pPr>
            <w:r>
              <w:rPr>
                <w:rFonts w:hint="eastAsia"/>
                <w:lang w:val="en-US" w:eastAsia="zh-CN"/>
              </w:rPr>
              <w:t>2）设计图纸完整，各项海绵城市设施汇水范围明确，径流路径清晰，设施与雨水管网衔接顺畅</w:t>
            </w:r>
          </w:p>
        </w:tc>
        <w:tc>
          <w:tcPr>
            <w:tcW w:w="343" w:type="pct"/>
            <w:shd w:val="clear" w:color="auto" w:fill="auto"/>
            <w:vAlign w:val="center"/>
          </w:tcPr>
          <w:p>
            <w:pPr>
              <w:pStyle w:val="14"/>
              <w:bidi w:val="0"/>
              <w:rPr>
                <w:rFonts w:hint="eastAsia"/>
                <w:lang w:val="en-US" w:eastAsia="zh-CN"/>
              </w:rPr>
            </w:pPr>
            <w:r>
              <w:rPr>
                <w:rFonts w:hint="eastAsia"/>
                <w:lang w:val="en-US" w:eastAsia="zh-CN"/>
              </w:rPr>
              <w:t>1</w:t>
            </w:r>
          </w:p>
        </w:tc>
        <w:tc>
          <w:tcPr>
            <w:tcW w:w="345" w:type="pct"/>
            <w:vMerge w:val="continue"/>
            <w:shd w:val="clear" w:color="auto" w:fill="auto"/>
            <w:vAlign w:val="center"/>
          </w:tcPr>
          <w:p>
            <w:pPr>
              <w:pStyle w:val="14"/>
              <w:bidi w:val="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continue"/>
            <w:shd w:val="clear" w:color="auto" w:fill="auto"/>
            <w:vAlign w:val="center"/>
          </w:tcPr>
          <w:p>
            <w:pPr>
              <w:pStyle w:val="14"/>
              <w:bidi w:val="0"/>
              <w:rPr>
                <w:rFonts w:hint="eastAsia"/>
              </w:rPr>
            </w:pPr>
          </w:p>
        </w:tc>
        <w:tc>
          <w:tcPr>
            <w:tcW w:w="687" w:type="pct"/>
            <w:vMerge w:val="continue"/>
            <w:shd w:val="clear" w:color="auto" w:fill="auto"/>
            <w:vAlign w:val="center"/>
          </w:tcPr>
          <w:p>
            <w:pPr>
              <w:pStyle w:val="14"/>
              <w:bidi w:val="0"/>
              <w:rPr>
                <w:rFonts w:hint="eastAsia"/>
              </w:rPr>
            </w:pPr>
          </w:p>
        </w:tc>
        <w:tc>
          <w:tcPr>
            <w:tcW w:w="3297" w:type="pct"/>
            <w:shd w:val="clear" w:color="auto" w:fill="auto"/>
            <w:vAlign w:val="center"/>
          </w:tcPr>
          <w:p>
            <w:pPr>
              <w:pStyle w:val="14"/>
              <w:bidi w:val="0"/>
              <w:rPr>
                <w:rFonts w:hint="eastAsia"/>
                <w:lang w:val="en-US" w:eastAsia="zh-CN"/>
              </w:rPr>
            </w:pPr>
            <w:r>
              <w:rPr>
                <w:rFonts w:hint="eastAsia"/>
                <w:lang w:val="en-US" w:eastAsia="zh-CN"/>
              </w:rPr>
              <w:t>3）通过分析土壤条件计算入渗设施排空时间，人工土壤配比入渗性能满足排空时间要求</w:t>
            </w:r>
          </w:p>
        </w:tc>
        <w:tc>
          <w:tcPr>
            <w:tcW w:w="343" w:type="pct"/>
            <w:shd w:val="clear" w:color="auto" w:fill="auto"/>
            <w:vAlign w:val="center"/>
          </w:tcPr>
          <w:p>
            <w:pPr>
              <w:pStyle w:val="14"/>
              <w:bidi w:val="0"/>
              <w:rPr>
                <w:rFonts w:hint="eastAsia"/>
                <w:lang w:val="en-US" w:eastAsia="zh-CN"/>
              </w:rPr>
            </w:pPr>
            <w:r>
              <w:rPr>
                <w:rFonts w:hint="eastAsia"/>
                <w:lang w:val="en-US" w:eastAsia="zh-CN"/>
              </w:rPr>
              <w:t>1</w:t>
            </w:r>
          </w:p>
        </w:tc>
        <w:tc>
          <w:tcPr>
            <w:tcW w:w="345" w:type="pct"/>
            <w:vMerge w:val="continue"/>
            <w:shd w:val="clear" w:color="auto" w:fill="auto"/>
            <w:vAlign w:val="center"/>
          </w:tcPr>
          <w:p>
            <w:pPr>
              <w:pStyle w:val="14"/>
              <w:bidi w:val="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continue"/>
            <w:shd w:val="clear" w:color="auto" w:fill="auto"/>
            <w:vAlign w:val="center"/>
          </w:tcPr>
          <w:p>
            <w:pPr>
              <w:pStyle w:val="14"/>
              <w:bidi w:val="0"/>
              <w:rPr>
                <w:rFonts w:hint="eastAsia"/>
              </w:rPr>
            </w:pPr>
          </w:p>
        </w:tc>
        <w:tc>
          <w:tcPr>
            <w:tcW w:w="687" w:type="pct"/>
            <w:vMerge w:val="continue"/>
            <w:shd w:val="clear" w:color="auto" w:fill="auto"/>
            <w:vAlign w:val="center"/>
          </w:tcPr>
          <w:p>
            <w:pPr>
              <w:pStyle w:val="14"/>
              <w:bidi w:val="0"/>
              <w:rPr>
                <w:rFonts w:hint="eastAsia"/>
              </w:rPr>
            </w:pPr>
          </w:p>
        </w:tc>
        <w:tc>
          <w:tcPr>
            <w:tcW w:w="3297" w:type="pct"/>
            <w:shd w:val="clear" w:color="auto" w:fill="auto"/>
            <w:vAlign w:val="center"/>
          </w:tcPr>
          <w:p>
            <w:pPr>
              <w:pStyle w:val="14"/>
              <w:bidi w:val="0"/>
              <w:rPr>
                <w:rFonts w:hint="eastAsia"/>
                <w:lang w:val="en-US" w:eastAsia="zh-CN"/>
              </w:rPr>
            </w:pPr>
            <w:r>
              <w:rPr>
                <w:rFonts w:hint="eastAsia"/>
                <w:lang w:val="en-US" w:eastAsia="zh-CN"/>
              </w:rPr>
              <w:t>4）生物滞留设施边坡护坡设计合理，衔接顺畅，不会出现水土流失问题</w:t>
            </w:r>
          </w:p>
        </w:tc>
        <w:tc>
          <w:tcPr>
            <w:tcW w:w="343" w:type="pct"/>
            <w:shd w:val="clear" w:color="auto" w:fill="auto"/>
            <w:vAlign w:val="center"/>
          </w:tcPr>
          <w:p>
            <w:pPr>
              <w:pStyle w:val="14"/>
              <w:bidi w:val="0"/>
              <w:rPr>
                <w:rFonts w:hint="eastAsia"/>
                <w:lang w:val="en-US" w:eastAsia="zh-CN"/>
              </w:rPr>
            </w:pPr>
            <w:r>
              <w:rPr>
                <w:rFonts w:hint="eastAsia"/>
                <w:lang w:val="en-US" w:eastAsia="zh-CN"/>
              </w:rPr>
              <w:t>1</w:t>
            </w:r>
          </w:p>
        </w:tc>
        <w:tc>
          <w:tcPr>
            <w:tcW w:w="345" w:type="pct"/>
            <w:vMerge w:val="continue"/>
            <w:shd w:val="clear" w:color="auto" w:fill="auto"/>
            <w:vAlign w:val="center"/>
          </w:tcPr>
          <w:p>
            <w:pPr>
              <w:pStyle w:val="14"/>
              <w:bidi w:val="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continue"/>
            <w:shd w:val="clear" w:color="auto" w:fill="auto"/>
            <w:vAlign w:val="center"/>
          </w:tcPr>
          <w:p>
            <w:pPr>
              <w:pStyle w:val="14"/>
              <w:bidi w:val="0"/>
              <w:rPr>
                <w:rFonts w:hint="eastAsia"/>
              </w:rPr>
            </w:pPr>
          </w:p>
        </w:tc>
        <w:tc>
          <w:tcPr>
            <w:tcW w:w="687" w:type="pct"/>
            <w:vMerge w:val="continue"/>
            <w:shd w:val="clear" w:color="auto" w:fill="auto"/>
            <w:vAlign w:val="center"/>
          </w:tcPr>
          <w:p>
            <w:pPr>
              <w:pStyle w:val="14"/>
              <w:bidi w:val="0"/>
              <w:rPr>
                <w:rFonts w:hint="eastAsia"/>
              </w:rPr>
            </w:pPr>
          </w:p>
        </w:tc>
        <w:tc>
          <w:tcPr>
            <w:tcW w:w="3297" w:type="pct"/>
            <w:shd w:val="clear" w:color="auto" w:fill="auto"/>
            <w:vAlign w:val="center"/>
          </w:tcPr>
          <w:p>
            <w:pPr>
              <w:pStyle w:val="14"/>
              <w:bidi w:val="0"/>
              <w:rPr>
                <w:rFonts w:hint="default"/>
                <w:lang w:val="en-US" w:eastAsia="zh-CN"/>
              </w:rPr>
            </w:pPr>
            <w:r>
              <w:rPr>
                <w:rFonts w:hint="eastAsia"/>
                <w:lang w:val="en-US" w:eastAsia="zh-CN"/>
              </w:rPr>
              <w:t>5）雨水集蓄利用工艺完整，水质水位在线监测并有记录，出水口设置计量设施</w:t>
            </w:r>
          </w:p>
        </w:tc>
        <w:tc>
          <w:tcPr>
            <w:tcW w:w="343" w:type="pct"/>
            <w:shd w:val="clear" w:color="auto" w:fill="auto"/>
            <w:vAlign w:val="center"/>
          </w:tcPr>
          <w:p>
            <w:pPr>
              <w:pStyle w:val="14"/>
              <w:bidi w:val="0"/>
              <w:rPr>
                <w:rFonts w:hint="eastAsia"/>
                <w:lang w:val="en-US" w:eastAsia="zh-CN"/>
              </w:rPr>
            </w:pPr>
            <w:r>
              <w:rPr>
                <w:rFonts w:hint="eastAsia"/>
                <w:lang w:val="en-US" w:eastAsia="zh-CN"/>
              </w:rPr>
              <w:t>1</w:t>
            </w:r>
          </w:p>
        </w:tc>
        <w:tc>
          <w:tcPr>
            <w:tcW w:w="345" w:type="pct"/>
            <w:vMerge w:val="continue"/>
            <w:shd w:val="clear" w:color="auto" w:fill="auto"/>
            <w:vAlign w:val="center"/>
          </w:tcPr>
          <w:p>
            <w:pPr>
              <w:pStyle w:val="14"/>
              <w:bidi w:val="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continue"/>
            <w:shd w:val="clear" w:color="auto" w:fill="auto"/>
            <w:vAlign w:val="center"/>
          </w:tcPr>
          <w:p>
            <w:pPr>
              <w:pStyle w:val="14"/>
              <w:bidi w:val="0"/>
            </w:pPr>
          </w:p>
        </w:tc>
        <w:tc>
          <w:tcPr>
            <w:tcW w:w="687" w:type="pct"/>
            <w:vMerge w:val="continue"/>
            <w:shd w:val="clear" w:color="auto" w:fill="auto"/>
            <w:vAlign w:val="center"/>
          </w:tcPr>
          <w:p>
            <w:pPr>
              <w:pStyle w:val="14"/>
              <w:bidi w:val="0"/>
            </w:pPr>
          </w:p>
        </w:tc>
        <w:tc>
          <w:tcPr>
            <w:tcW w:w="3297" w:type="pct"/>
            <w:shd w:val="clear" w:color="auto" w:fill="auto"/>
            <w:vAlign w:val="center"/>
          </w:tcPr>
          <w:p>
            <w:pPr>
              <w:pStyle w:val="14"/>
              <w:bidi w:val="0"/>
            </w:pPr>
            <w:r>
              <w:rPr>
                <w:rFonts w:hint="eastAsia"/>
                <w:lang w:val="en-US" w:eastAsia="zh-CN"/>
              </w:rPr>
              <w:t>6</w:t>
            </w:r>
            <w:r>
              <w:rPr>
                <w:rFonts w:hint="eastAsia"/>
              </w:rPr>
              <w:t>）明确海绵城市设施施工验收和运行维护管理的基本要求</w:t>
            </w:r>
          </w:p>
        </w:tc>
        <w:tc>
          <w:tcPr>
            <w:tcW w:w="343" w:type="pct"/>
            <w:shd w:val="clear" w:color="auto" w:fill="auto"/>
            <w:vAlign w:val="center"/>
          </w:tcPr>
          <w:p>
            <w:pPr>
              <w:pStyle w:val="14"/>
              <w:bidi w:val="0"/>
            </w:pPr>
            <w:r>
              <w:rPr>
                <w:rFonts w:hint="eastAsia"/>
              </w:rPr>
              <w:t>1</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restart"/>
            <w:shd w:val="clear" w:color="auto" w:fill="auto"/>
            <w:vAlign w:val="center"/>
          </w:tcPr>
          <w:p>
            <w:pPr>
              <w:pStyle w:val="14"/>
              <w:bidi w:val="0"/>
            </w:pPr>
            <w:r>
              <w:rPr>
                <w:rFonts w:hint="eastAsia"/>
              </w:rPr>
              <w:t>18</w:t>
            </w:r>
          </w:p>
        </w:tc>
        <w:tc>
          <w:tcPr>
            <w:tcW w:w="687" w:type="pct"/>
            <w:vMerge w:val="restart"/>
            <w:shd w:val="clear" w:color="auto" w:fill="auto"/>
            <w:vAlign w:val="center"/>
          </w:tcPr>
          <w:p>
            <w:pPr>
              <w:pStyle w:val="14"/>
              <w:bidi w:val="0"/>
            </w:pPr>
            <w:r>
              <w:rPr>
                <w:rFonts w:hint="eastAsia"/>
              </w:rPr>
              <w:t>设计深度指导性强</w:t>
            </w:r>
          </w:p>
        </w:tc>
        <w:tc>
          <w:tcPr>
            <w:tcW w:w="3297" w:type="pct"/>
            <w:shd w:val="clear" w:color="auto" w:fill="auto"/>
            <w:vAlign w:val="center"/>
          </w:tcPr>
          <w:p>
            <w:pPr>
              <w:pStyle w:val="14"/>
              <w:bidi w:val="0"/>
              <w:rPr>
                <w:rFonts w:hint="eastAsia"/>
                <w:lang w:val="en-US" w:eastAsia="zh-CN"/>
              </w:rPr>
            </w:pPr>
            <w:r>
              <w:rPr>
                <w:rFonts w:hint="eastAsia"/>
                <w:lang w:val="en-US" w:eastAsia="zh-CN"/>
              </w:rPr>
              <w:t>1）有海绵设施平面布局图，图例齐全清晰；透水铺装平面设计美观，不同场地和不同功能透水铺装分别设计不同结构</w:t>
            </w:r>
          </w:p>
        </w:tc>
        <w:tc>
          <w:tcPr>
            <w:tcW w:w="343" w:type="pct"/>
            <w:shd w:val="clear" w:color="auto" w:fill="auto"/>
            <w:vAlign w:val="center"/>
          </w:tcPr>
          <w:p>
            <w:pPr>
              <w:pStyle w:val="14"/>
              <w:bidi w:val="0"/>
            </w:pPr>
            <w:r>
              <w:rPr>
                <w:rFonts w:hint="eastAsia"/>
              </w:rPr>
              <w:t>1</w:t>
            </w:r>
          </w:p>
        </w:tc>
        <w:tc>
          <w:tcPr>
            <w:tcW w:w="345" w:type="pct"/>
            <w:vMerge w:val="restart"/>
            <w:shd w:val="clear" w:color="auto" w:fill="auto"/>
            <w:vAlign w:val="center"/>
          </w:tcPr>
          <w:p>
            <w:pPr>
              <w:pStyle w:val="14"/>
              <w:bidi w:val="0"/>
              <w:rPr>
                <w:rFonts w:hint="eastAsia"/>
                <w:lang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continue"/>
            <w:shd w:val="clear" w:color="auto" w:fill="auto"/>
            <w:vAlign w:val="center"/>
          </w:tcPr>
          <w:p>
            <w:pPr>
              <w:pStyle w:val="14"/>
              <w:bidi w:val="0"/>
            </w:pPr>
          </w:p>
        </w:tc>
        <w:tc>
          <w:tcPr>
            <w:tcW w:w="687" w:type="pct"/>
            <w:vMerge w:val="continue"/>
            <w:shd w:val="clear" w:color="auto" w:fill="auto"/>
            <w:vAlign w:val="center"/>
          </w:tcPr>
          <w:p>
            <w:pPr>
              <w:pStyle w:val="14"/>
              <w:bidi w:val="0"/>
            </w:pPr>
          </w:p>
        </w:tc>
        <w:tc>
          <w:tcPr>
            <w:tcW w:w="3297" w:type="pct"/>
            <w:shd w:val="clear" w:color="auto" w:fill="auto"/>
            <w:vAlign w:val="center"/>
          </w:tcPr>
          <w:p>
            <w:pPr>
              <w:pStyle w:val="14"/>
              <w:bidi w:val="0"/>
              <w:rPr>
                <w:rFonts w:hint="eastAsia"/>
                <w:lang w:val="en-US" w:eastAsia="zh-CN"/>
              </w:rPr>
            </w:pPr>
            <w:r>
              <w:rPr>
                <w:rFonts w:hint="eastAsia"/>
                <w:lang w:val="en-US" w:eastAsia="zh-CN"/>
              </w:rPr>
              <w:t>2）生物滞留设施合理布置消能、防冲刷功能，合理确定植物选择和种类搭配；不同类型生物滞留设施做法明确</w:t>
            </w:r>
          </w:p>
        </w:tc>
        <w:tc>
          <w:tcPr>
            <w:tcW w:w="343" w:type="pct"/>
            <w:shd w:val="clear" w:color="auto" w:fill="auto"/>
            <w:vAlign w:val="center"/>
          </w:tcPr>
          <w:p>
            <w:pPr>
              <w:pStyle w:val="14"/>
              <w:bidi w:val="0"/>
              <w:rPr>
                <w:rFonts w:hint="eastAsia"/>
                <w:lang w:eastAsia="zh-CN"/>
              </w:rPr>
            </w:pPr>
            <w:r>
              <w:rPr>
                <w:rFonts w:hint="eastAsia"/>
                <w:lang w:val="en-US" w:eastAsia="zh-CN"/>
              </w:rPr>
              <w:t>1</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26" w:type="pct"/>
            <w:vMerge w:val="continue"/>
            <w:shd w:val="clear" w:color="auto" w:fill="auto"/>
            <w:vAlign w:val="center"/>
          </w:tcPr>
          <w:p>
            <w:pPr>
              <w:pStyle w:val="14"/>
              <w:bidi w:val="0"/>
            </w:pPr>
          </w:p>
        </w:tc>
        <w:tc>
          <w:tcPr>
            <w:tcW w:w="687" w:type="pct"/>
            <w:vMerge w:val="continue"/>
            <w:shd w:val="clear" w:color="auto" w:fill="auto"/>
            <w:vAlign w:val="center"/>
          </w:tcPr>
          <w:p>
            <w:pPr>
              <w:pStyle w:val="14"/>
              <w:bidi w:val="0"/>
            </w:pPr>
          </w:p>
        </w:tc>
        <w:tc>
          <w:tcPr>
            <w:tcW w:w="3297" w:type="pct"/>
            <w:shd w:val="clear" w:color="auto" w:fill="auto"/>
            <w:vAlign w:val="center"/>
          </w:tcPr>
          <w:p>
            <w:pPr>
              <w:pStyle w:val="14"/>
              <w:bidi w:val="0"/>
              <w:rPr>
                <w:rFonts w:hint="eastAsia"/>
                <w:lang w:val="en-US" w:eastAsia="zh-CN"/>
              </w:rPr>
            </w:pPr>
            <w:r>
              <w:rPr>
                <w:rFonts w:hint="eastAsia"/>
                <w:lang w:val="en-US" w:eastAsia="zh-CN"/>
              </w:rPr>
              <w:t>3）雨水利用设施明确蓄水池位置、进出水管布设、动力设施电源、主要节点高程及利用系统，做法详图明确雨水收集、净化及利用用流程</w:t>
            </w:r>
          </w:p>
        </w:tc>
        <w:tc>
          <w:tcPr>
            <w:tcW w:w="343" w:type="pct"/>
            <w:shd w:val="clear" w:color="auto" w:fill="auto"/>
            <w:vAlign w:val="center"/>
          </w:tcPr>
          <w:p>
            <w:pPr>
              <w:pStyle w:val="14"/>
              <w:bidi w:val="0"/>
              <w:rPr>
                <w:rFonts w:hint="eastAsia"/>
                <w:lang w:eastAsia="zh-CN"/>
              </w:rPr>
            </w:pPr>
            <w:r>
              <w:rPr>
                <w:rFonts w:hint="eastAsia"/>
                <w:lang w:val="en-US" w:eastAsia="zh-CN"/>
              </w:rPr>
              <w:t>1</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6" w:type="pct"/>
            <w:vMerge w:val="continue"/>
            <w:shd w:val="clear" w:color="auto" w:fill="auto"/>
            <w:vAlign w:val="center"/>
          </w:tcPr>
          <w:p>
            <w:pPr>
              <w:pStyle w:val="14"/>
              <w:bidi w:val="0"/>
            </w:pPr>
          </w:p>
        </w:tc>
        <w:tc>
          <w:tcPr>
            <w:tcW w:w="687" w:type="pct"/>
            <w:vMerge w:val="continue"/>
            <w:shd w:val="clear" w:color="auto" w:fill="auto"/>
            <w:vAlign w:val="center"/>
          </w:tcPr>
          <w:p>
            <w:pPr>
              <w:pStyle w:val="14"/>
              <w:bidi w:val="0"/>
            </w:pPr>
          </w:p>
        </w:tc>
        <w:tc>
          <w:tcPr>
            <w:tcW w:w="3297" w:type="pct"/>
            <w:shd w:val="clear" w:color="auto" w:fill="auto"/>
            <w:vAlign w:val="center"/>
          </w:tcPr>
          <w:p>
            <w:pPr>
              <w:pStyle w:val="14"/>
              <w:bidi w:val="0"/>
              <w:rPr>
                <w:rFonts w:hint="eastAsia"/>
                <w:lang w:val="en-US" w:eastAsia="zh-CN"/>
              </w:rPr>
            </w:pPr>
            <w:r>
              <w:rPr>
                <w:rFonts w:hint="eastAsia"/>
                <w:lang w:val="en-US" w:eastAsia="zh-CN"/>
              </w:rPr>
              <w:t>4）项目设计文件中增加关于径流总量控制、径流污染削减及径流峰值控制等模型报告</w:t>
            </w:r>
          </w:p>
        </w:tc>
        <w:tc>
          <w:tcPr>
            <w:tcW w:w="343" w:type="pct"/>
            <w:shd w:val="clear" w:color="auto" w:fill="auto"/>
            <w:vAlign w:val="center"/>
          </w:tcPr>
          <w:p>
            <w:pPr>
              <w:pStyle w:val="14"/>
              <w:bidi w:val="0"/>
              <w:rPr>
                <w:rFonts w:hint="default"/>
                <w:lang w:val="en-US" w:eastAsia="zh-CN"/>
              </w:rPr>
            </w:pPr>
            <w:r>
              <w:rPr>
                <w:rFonts w:hint="eastAsia"/>
                <w:lang w:val="en-US" w:eastAsia="zh-CN"/>
              </w:rPr>
              <w:t>1</w:t>
            </w:r>
          </w:p>
        </w:tc>
        <w:tc>
          <w:tcPr>
            <w:tcW w:w="345" w:type="pct"/>
            <w:vMerge w:val="continue"/>
            <w:shd w:val="clear" w:color="auto" w:fill="auto"/>
            <w:vAlign w:val="center"/>
          </w:tcPr>
          <w:p>
            <w:pPr>
              <w:pStyle w:val="14"/>
              <w:bidi w:val="0"/>
            </w:pPr>
          </w:p>
        </w:tc>
      </w:tr>
    </w:tbl>
    <w:p>
      <w:pPr>
        <w:rPr>
          <w:szCs w:val="32"/>
        </w:rPr>
      </w:pPr>
    </w:p>
    <w:p>
      <w:pPr>
        <w:rPr>
          <w:szCs w:val="32"/>
        </w:rPr>
      </w:pPr>
      <w:r>
        <w:rPr>
          <w:szCs w:val="32"/>
        </w:rPr>
        <w:br w:type="page"/>
      </w:r>
    </w:p>
    <w:p>
      <w:pPr>
        <w:pStyle w:val="13"/>
      </w:pPr>
      <w:r>
        <w:t>表</w:t>
      </w:r>
      <w:r>
        <w:rPr>
          <w:rFonts w:hint="eastAsia"/>
          <w:lang w:val="en-US" w:eastAsia="zh-CN"/>
        </w:rPr>
        <w:t>5</w:t>
      </w:r>
      <w:r>
        <w:t>.2</w:t>
      </w:r>
      <w:r>
        <w:rPr>
          <w:rFonts w:hint="eastAsia"/>
        </w:rPr>
        <w:t>.</w:t>
      </w:r>
      <w:r>
        <w:t>1</w:t>
      </w:r>
      <w:r>
        <w:rPr>
          <w:rFonts w:hint="eastAsia"/>
        </w:rPr>
        <w:t>-2</w:t>
      </w:r>
      <w:r>
        <w:t>道路</w:t>
      </w:r>
      <w:r>
        <w:rPr>
          <w:rFonts w:hint="eastAsia"/>
          <w:lang w:val="en-US" w:eastAsia="zh-CN"/>
        </w:rPr>
        <w:t>与广场</w:t>
      </w:r>
      <w:r>
        <w:t>专项设计评分项</w:t>
      </w:r>
    </w:p>
    <w:p>
      <w:pPr>
        <w:pStyle w:val="13"/>
      </w:pPr>
      <w:r>
        <w:rPr>
          <w:rFonts w:hint="eastAsia"/>
        </w:rPr>
        <w:t>Ⅰ建设目标达标性（</w:t>
      </w:r>
      <w:r>
        <w:rPr>
          <w:rFonts w:hint="eastAsia"/>
          <w:lang w:val="en-US" w:eastAsia="zh-CN"/>
        </w:rPr>
        <w:t>25</w:t>
      </w:r>
      <w:r>
        <w:rPr>
          <w:rFonts w:hint="eastAsia"/>
        </w:rPr>
        <w:t>分）</w:t>
      </w:r>
    </w:p>
    <w:tbl>
      <w:tblPr>
        <w:tblStyle w:val="6"/>
        <w:tblW w:w="49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46"/>
        <w:gridCol w:w="1128"/>
        <w:gridCol w:w="5411"/>
        <w:gridCol w:w="566"/>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32" w:type="pct"/>
            <w:vMerge w:val="restart"/>
            <w:shd w:val="clear" w:color="auto" w:fill="auto"/>
            <w:vAlign w:val="center"/>
          </w:tcPr>
          <w:p>
            <w:pPr>
              <w:pStyle w:val="14"/>
            </w:pPr>
            <w:r>
              <w:t>序号</w:t>
            </w:r>
          </w:p>
        </w:tc>
        <w:tc>
          <w:tcPr>
            <w:tcW w:w="3977" w:type="pct"/>
            <w:gridSpan w:val="2"/>
            <w:vMerge w:val="restart"/>
            <w:shd w:val="clear" w:color="auto" w:fill="auto"/>
            <w:vAlign w:val="center"/>
          </w:tcPr>
          <w:p>
            <w:pPr>
              <w:pStyle w:val="14"/>
            </w:pPr>
            <w:r>
              <w:t>评价标准</w:t>
            </w:r>
          </w:p>
        </w:tc>
        <w:tc>
          <w:tcPr>
            <w:tcW w:w="689" w:type="pct"/>
            <w:gridSpan w:val="2"/>
            <w:shd w:val="clear" w:color="auto" w:fill="auto"/>
            <w:vAlign w:val="center"/>
          </w:tcPr>
          <w:p>
            <w:pPr>
              <w:pStyle w:val="14"/>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6" w:hRule="exact"/>
          <w:tblHeader/>
          <w:jc w:val="center"/>
        </w:trPr>
        <w:tc>
          <w:tcPr>
            <w:tcW w:w="332" w:type="pct"/>
            <w:vMerge w:val="continue"/>
            <w:shd w:val="clear" w:color="auto" w:fill="auto"/>
            <w:vAlign w:val="center"/>
          </w:tcPr>
          <w:p>
            <w:pPr>
              <w:pStyle w:val="14"/>
            </w:pPr>
          </w:p>
        </w:tc>
        <w:tc>
          <w:tcPr>
            <w:tcW w:w="3977" w:type="pct"/>
            <w:gridSpan w:val="2"/>
            <w:vMerge w:val="continue"/>
            <w:shd w:val="clear" w:color="auto" w:fill="auto"/>
            <w:vAlign w:val="center"/>
          </w:tcPr>
          <w:p>
            <w:pPr>
              <w:pStyle w:val="14"/>
            </w:pPr>
          </w:p>
        </w:tc>
        <w:tc>
          <w:tcPr>
            <w:tcW w:w="344" w:type="pct"/>
            <w:shd w:val="clear" w:color="auto" w:fill="auto"/>
            <w:vAlign w:val="center"/>
          </w:tcPr>
          <w:p>
            <w:pPr>
              <w:pStyle w:val="14"/>
            </w:pPr>
            <w:r>
              <w:t>评分</w:t>
            </w:r>
          </w:p>
        </w:tc>
        <w:tc>
          <w:tcPr>
            <w:tcW w:w="344" w:type="pct"/>
            <w:shd w:val="clear" w:color="auto" w:fill="auto"/>
            <w:vAlign w:val="center"/>
          </w:tcPr>
          <w:p>
            <w:pPr>
              <w:pStyle w:val="14"/>
            </w:pPr>
            <w:r>
              <w:rPr>
                <w:rFonts w:hint="eastAsia"/>
                <w:lang w:val="en-US" w:eastAsia="zh-CN"/>
              </w:rPr>
              <w:t>最高得分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32" w:type="pct"/>
            <w:vMerge w:val="restart"/>
            <w:shd w:val="clear" w:color="auto" w:fill="auto"/>
            <w:vAlign w:val="center"/>
          </w:tcPr>
          <w:p>
            <w:pPr>
              <w:pStyle w:val="14"/>
            </w:pPr>
            <w:r>
              <w:t>1</w:t>
            </w:r>
          </w:p>
        </w:tc>
        <w:tc>
          <w:tcPr>
            <w:tcW w:w="686" w:type="pct"/>
            <w:vMerge w:val="restart"/>
            <w:shd w:val="clear" w:color="auto" w:fill="auto"/>
            <w:vAlign w:val="center"/>
          </w:tcPr>
          <w:p>
            <w:pPr>
              <w:pStyle w:val="14"/>
            </w:pPr>
            <w:r>
              <w:rPr>
                <w:rFonts w:hint="eastAsia"/>
              </w:rPr>
              <w:t>年径流总量控制率达标</w:t>
            </w:r>
          </w:p>
        </w:tc>
        <w:tc>
          <w:tcPr>
            <w:tcW w:w="3291" w:type="pct"/>
            <w:shd w:val="clear" w:color="auto" w:fill="auto"/>
            <w:vAlign w:val="center"/>
          </w:tcPr>
          <w:p>
            <w:pPr>
              <w:pStyle w:val="14"/>
              <w:rPr>
                <w:rFonts w:hint="default"/>
                <w:lang w:val="en-US" w:eastAsia="zh-CN"/>
              </w:rPr>
            </w:pPr>
            <w:r>
              <w:rPr>
                <w:rFonts w:hint="eastAsia"/>
                <w:lang w:val="en-US" w:eastAsia="zh-CN"/>
              </w:rPr>
              <w:t>新建项目（包括道路整体改造项目）</w:t>
            </w:r>
            <w:r>
              <w:rPr>
                <w:rFonts w:hint="eastAsia"/>
              </w:rPr>
              <w:t>不低于</w:t>
            </w:r>
            <w:r>
              <w:rPr>
                <w:rFonts w:hint="eastAsia"/>
                <w:lang w:val="en-US" w:eastAsia="zh-CN"/>
              </w:rPr>
              <w:t>山西省地标</w:t>
            </w:r>
            <w:r>
              <w:rPr>
                <w:rFonts w:hint="eastAsia"/>
              </w:rPr>
              <w:t>《海绵型道路广场设计技术标准》</w:t>
            </w:r>
            <w:r>
              <w:rPr>
                <w:rFonts w:hint="eastAsia"/>
                <w:lang w:val="en-US" w:eastAsia="zh-CN"/>
              </w:rPr>
              <w:t>确定的基准值；路面更新改造项目不低于改造前</w:t>
            </w:r>
          </w:p>
        </w:tc>
        <w:tc>
          <w:tcPr>
            <w:tcW w:w="344" w:type="pct"/>
            <w:shd w:val="clear" w:color="auto" w:fill="auto"/>
            <w:vAlign w:val="center"/>
          </w:tcPr>
          <w:p>
            <w:pPr>
              <w:pStyle w:val="14"/>
              <w:rPr>
                <w:rFonts w:hint="eastAsia"/>
                <w:lang w:eastAsia="zh-CN"/>
              </w:rPr>
            </w:pPr>
            <w:r>
              <w:rPr>
                <w:rFonts w:hint="eastAsia"/>
                <w:lang w:val="en-US" w:eastAsia="zh-CN"/>
              </w:rPr>
              <w:t>3</w:t>
            </w:r>
          </w:p>
        </w:tc>
        <w:tc>
          <w:tcPr>
            <w:tcW w:w="344" w:type="pct"/>
            <w:vMerge w:val="restart"/>
            <w:shd w:val="clear" w:color="auto" w:fill="auto"/>
            <w:vAlign w:val="center"/>
          </w:tcPr>
          <w:p>
            <w:pPr>
              <w:pStyle w:val="14"/>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rPr>
                <w:rFonts w:hint="eastAsia"/>
              </w:rPr>
            </w:pPr>
          </w:p>
        </w:tc>
        <w:tc>
          <w:tcPr>
            <w:tcW w:w="3291" w:type="pct"/>
            <w:shd w:val="clear" w:color="auto" w:fill="auto"/>
            <w:vAlign w:val="center"/>
          </w:tcPr>
          <w:p>
            <w:pPr>
              <w:pStyle w:val="14"/>
              <w:rPr>
                <w:rFonts w:hint="eastAsia"/>
              </w:rPr>
            </w:pPr>
            <w:r>
              <w:rPr>
                <w:rFonts w:hint="eastAsia"/>
                <w:lang w:val="en-US" w:eastAsia="zh-CN"/>
              </w:rPr>
              <w:t>不低于海绵城市专项规划、海绵城市详细规划及海绵城市主管部门出台的控制指标文件的目标值</w:t>
            </w:r>
          </w:p>
        </w:tc>
        <w:tc>
          <w:tcPr>
            <w:tcW w:w="344" w:type="pct"/>
            <w:shd w:val="clear" w:color="auto" w:fill="auto"/>
            <w:vAlign w:val="center"/>
          </w:tcPr>
          <w:p>
            <w:pPr>
              <w:pStyle w:val="14"/>
              <w:rPr>
                <w:rFonts w:hint="eastAsia"/>
                <w:lang w:val="en-US" w:eastAsia="zh-CN"/>
              </w:rPr>
            </w:pPr>
            <w:r>
              <w:rPr>
                <w:rFonts w:hint="eastAsia"/>
                <w:lang w:val="en-US" w:eastAsia="zh-CN"/>
              </w:rPr>
              <w:t>5</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restart"/>
            <w:shd w:val="clear" w:color="auto" w:fill="auto"/>
            <w:vAlign w:val="center"/>
          </w:tcPr>
          <w:p>
            <w:pPr>
              <w:pStyle w:val="14"/>
              <w:rPr>
                <w:rFonts w:hint="eastAsia" w:eastAsia="宋体"/>
                <w:lang w:eastAsia="zh-CN"/>
              </w:rPr>
            </w:pPr>
            <w:r>
              <w:rPr>
                <w:rFonts w:hint="eastAsia"/>
                <w:lang w:val="en-US" w:eastAsia="zh-CN"/>
              </w:rPr>
              <w:t>2</w:t>
            </w:r>
          </w:p>
        </w:tc>
        <w:tc>
          <w:tcPr>
            <w:tcW w:w="686" w:type="pct"/>
            <w:vMerge w:val="restart"/>
            <w:shd w:val="clear" w:color="auto" w:fill="auto"/>
            <w:vAlign w:val="center"/>
          </w:tcPr>
          <w:p>
            <w:pPr>
              <w:pStyle w:val="14"/>
            </w:pPr>
            <w:r>
              <w:t>年径流污染物总量（以悬浮物SS计）削减率提高</w:t>
            </w:r>
          </w:p>
        </w:tc>
        <w:tc>
          <w:tcPr>
            <w:tcW w:w="3291" w:type="pct"/>
            <w:shd w:val="clear" w:color="auto" w:fill="auto"/>
            <w:vAlign w:val="center"/>
          </w:tcPr>
          <w:p>
            <w:pPr>
              <w:pStyle w:val="14"/>
            </w:pPr>
            <w:r>
              <w:t>年径流污染物总量（以悬浮物SS计）削减率</w:t>
            </w:r>
            <w:r>
              <w:rPr>
                <w:rFonts w:hint="eastAsia"/>
                <w:lang w:val="en-US" w:eastAsia="zh-CN"/>
              </w:rPr>
              <w:t>≥40%</w:t>
            </w:r>
          </w:p>
        </w:tc>
        <w:tc>
          <w:tcPr>
            <w:tcW w:w="344" w:type="pct"/>
            <w:shd w:val="clear" w:color="auto" w:fill="auto"/>
            <w:vAlign w:val="center"/>
          </w:tcPr>
          <w:p>
            <w:pPr>
              <w:pStyle w:val="14"/>
              <w:rPr>
                <w:rFonts w:hint="eastAsia" w:eastAsia="宋体"/>
                <w:lang w:val="en-US" w:eastAsia="zh-CN"/>
              </w:rPr>
            </w:pPr>
            <w:r>
              <w:rPr>
                <w:rFonts w:hint="eastAsia"/>
                <w:lang w:val="en-US" w:eastAsia="zh-CN"/>
              </w:rPr>
              <w:t>1</w:t>
            </w:r>
          </w:p>
        </w:tc>
        <w:tc>
          <w:tcPr>
            <w:tcW w:w="344" w:type="pct"/>
            <w:vMerge w:val="restart"/>
            <w:shd w:val="clear" w:color="auto" w:fill="auto"/>
            <w:vAlign w:val="center"/>
          </w:tcPr>
          <w:p>
            <w:pPr>
              <w:pStyle w:val="14"/>
              <w:rPr>
                <w:rFonts w:hint="eastAsia" w:eastAsia="宋体"/>
                <w:lang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continue"/>
            <w:shd w:val="clear" w:color="auto" w:fill="auto"/>
            <w:vAlign w:val="center"/>
          </w:tcPr>
          <w:p>
            <w:pPr>
              <w:pStyle w:val="14"/>
              <w:rPr>
                <w:rFonts w:hint="eastAsia"/>
                <w:lang w:val="en-US" w:eastAsia="zh-CN"/>
              </w:rPr>
            </w:pPr>
          </w:p>
        </w:tc>
        <w:tc>
          <w:tcPr>
            <w:tcW w:w="686" w:type="pct"/>
            <w:vMerge w:val="continue"/>
            <w:shd w:val="clear" w:color="auto" w:fill="auto"/>
            <w:vAlign w:val="center"/>
          </w:tcPr>
          <w:p>
            <w:pPr>
              <w:pStyle w:val="14"/>
            </w:pPr>
          </w:p>
        </w:tc>
        <w:tc>
          <w:tcPr>
            <w:tcW w:w="3291" w:type="pct"/>
            <w:shd w:val="clear" w:color="auto" w:fill="auto"/>
            <w:vAlign w:val="center"/>
          </w:tcPr>
          <w:p>
            <w:pPr>
              <w:pStyle w:val="14"/>
              <w:rPr>
                <w:rFonts w:hint="eastAsia"/>
              </w:rPr>
            </w:pPr>
            <w:r>
              <w:rPr>
                <w:rFonts w:hint="eastAsia"/>
              </w:rPr>
              <w:t>不低</w:t>
            </w:r>
            <w:r>
              <w:t>于海绵城市专项规划或现行国家标准海绵城市建设评价标准）GB/T 51345规定目标值</w:t>
            </w:r>
          </w:p>
        </w:tc>
        <w:tc>
          <w:tcPr>
            <w:tcW w:w="344" w:type="pct"/>
            <w:shd w:val="clear" w:color="auto" w:fill="auto"/>
            <w:vAlign w:val="center"/>
          </w:tcPr>
          <w:p>
            <w:pPr>
              <w:pStyle w:val="14"/>
              <w:rPr>
                <w:rFonts w:hint="eastAsia"/>
              </w:rPr>
            </w:pPr>
            <w:r>
              <w:rPr>
                <w:rFonts w:hint="eastAsia"/>
              </w:rPr>
              <w:t>2</w:t>
            </w:r>
          </w:p>
        </w:tc>
        <w:tc>
          <w:tcPr>
            <w:tcW w:w="344" w:type="pct"/>
            <w:vMerge w:val="continue"/>
            <w:shd w:val="clear" w:color="auto" w:fill="auto"/>
            <w:vAlign w:val="center"/>
          </w:tcPr>
          <w:p>
            <w:pPr>
              <w:pStyle w:val="14"/>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pPr>
          </w:p>
        </w:tc>
        <w:tc>
          <w:tcPr>
            <w:tcW w:w="3291" w:type="pct"/>
            <w:shd w:val="clear" w:color="auto" w:fill="auto"/>
            <w:vAlign w:val="center"/>
          </w:tcPr>
          <w:p>
            <w:pPr>
              <w:pStyle w:val="14"/>
            </w:pPr>
            <w:r>
              <w:t>高于海绵城市专项规划或现行国家标准《海绵城市建设评价标准》GB/T 51345规定目标值3%</w:t>
            </w:r>
          </w:p>
        </w:tc>
        <w:tc>
          <w:tcPr>
            <w:tcW w:w="344" w:type="pct"/>
            <w:shd w:val="clear" w:color="auto" w:fill="auto"/>
            <w:vAlign w:val="center"/>
          </w:tcPr>
          <w:p>
            <w:pPr>
              <w:pStyle w:val="14"/>
              <w:rPr>
                <w:rFonts w:hint="eastAsia" w:eastAsia="宋体"/>
                <w:lang w:eastAsia="zh-CN"/>
              </w:rPr>
            </w:pPr>
            <w:r>
              <w:rPr>
                <w:rFonts w:hint="eastAsia"/>
                <w:lang w:val="en-US" w:eastAsia="zh-CN"/>
              </w:rPr>
              <w:t>3</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pPr>
          </w:p>
        </w:tc>
        <w:tc>
          <w:tcPr>
            <w:tcW w:w="3291" w:type="pct"/>
            <w:shd w:val="clear" w:color="auto" w:fill="auto"/>
            <w:vAlign w:val="center"/>
          </w:tcPr>
          <w:p>
            <w:pPr>
              <w:pStyle w:val="14"/>
            </w:pPr>
            <w:r>
              <w:t>高于海绵城市专项规划或现行国家标准</w:t>
            </w:r>
            <w:r>
              <w:rPr>
                <w:rFonts w:hint="eastAsia"/>
                <w:lang w:eastAsia="zh-CN"/>
              </w:rPr>
              <w:t>《</w:t>
            </w:r>
            <w:r>
              <w:t>海绵城市建设评价标准》GB/T 51345规定目标值5%</w:t>
            </w:r>
          </w:p>
        </w:tc>
        <w:tc>
          <w:tcPr>
            <w:tcW w:w="344" w:type="pct"/>
            <w:shd w:val="clear" w:color="auto" w:fill="auto"/>
            <w:vAlign w:val="center"/>
          </w:tcPr>
          <w:p>
            <w:pPr>
              <w:pStyle w:val="14"/>
              <w:rPr>
                <w:rFonts w:hint="eastAsia" w:eastAsia="宋体"/>
                <w:lang w:eastAsia="zh-CN"/>
              </w:rPr>
            </w:pPr>
            <w:r>
              <w:rPr>
                <w:rFonts w:hint="eastAsia"/>
                <w:lang w:val="en-US" w:eastAsia="zh-CN"/>
              </w:rPr>
              <w:t>5</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shd w:val="clear" w:color="auto" w:fill="auto"/>
            <w:vAlign w:val="center"/>
          </w:tcPr>
          <w:p>
            <w:pPr>
              <w:pStyle w:val="14"/>
              <w:rPr>
                <w:rFonts w:hint="eastAsia" w:eastAsia="宋体"/>
                <w:lang w:val="en-US" w:eastAsia="zh-CN"/>
              </w:rPr>
            </w:pPr>
            <w:r>
              <w:rPr>
                <w:rFonts w:hint="eastAsia"/>
                <w:lang w:val="en-US" w:eastAsia="zh-CN"/>
              </w:rPr>
              <w:t>3</w:t>
            </w:r>
          </w:p>
        </w:tc>
        <w:tc>
          <w:tcPr>
            <w:tcW w:w="686" w:type="pct"/>
            <w:shd w:val="clear" w:color="auto" w:fill="auto"/>
            <w:vAlign w:val="center"/>
          </w:tcPr>
          <w:p>
            <w:pPr>
              <w:pStyle w:val="14"/>
              <w:rPr>
                <w:rFonts w:hint="default" w:eastAsia="宋体"/>
                <w:lang w:val="en-US" w:eastAsia="zh-CN"/>
              </w:rPr>
            </w:pPr>
            <w:r>
              <w:rPr>
                <w:rFonts w:hint="eastAsia"/>
                <w:lang w:val="en-US" w:eastAsia="zh-CN"/>
              </w:rPr>
              <w:t>充分利用雨水资源</w:t>
            </w:r>
          </w:p>
        </w:tc>
        <w:tc>
          <w:tcPr>
            <w:tcW w:w="3291" w:type="pct"/>
            <w:shd w:val="clear" w:color="auto" w:fill="auto"/>
            <w:vAlign w:val="center"/>
          </w:tcPr>
          <w:p>
            <w:pPr>
              <w:pStyle w:val="14"/>
            </w:pPr>
            <w:r>
              <w:rPr>
                <w:rFonts w:hint="eastAsia"/>
              </w:rPr>
              <w:t>不</w:t>
            </w:r>
            <w:r>
              <w:rPr>
                <w:rFonts w:hint="eastAsia"/>
                <w:lang w:eastAsia="zh-CN"/>
              </w:rPr>
              <w:t>低于</w:t>
            </w:r>
            <w:r>
              <w:rPr>
                <w:rFonts w:hint="eastAsia"/>
              </w:rPr>
              <w:t>海绵城市专项规划和海绵城市详细规划的目标值</w:t>
            </w:r>
          </w:p>
        </w:tc>
        <w:tc>
          <w:tcPr>
            <w:tcW w:w="344" w:type="pct"/>
            <w:shd w:val="clear" w:color="auto" w:fill="auto"/>
            <w:vAlign w:val="center"/>
          </w:tcPr>
          <w:p>
            <w:pPr>
              <w:pStyle w:val="14"/>
              <w:rPr>
                <w:rFonts w:hint="eastAsia" w:eastAsia="宋体"/>
                <w:lang w:val="en-US" w:eastAsia="zh-CN"/>
              </w:rPr>
            </w:pPr>
            <w:r>
              <w:rPr>
                <w:rFonts w:hint="eastAsia"/>
                <w:lang w:val="en-US" w:eastAsia="zh-CN"/>
              </w:rPr>
              <w:t>1</w:t>
            </w:r>
          </w:p>
        </w:tc>
        <w:tc>
          <w:tcPr>
            <w:tcW w:w="344" w:type="pct"/>
            <w:shd w:val="clear" w:color="auto" w:fill="auto"/>
            <w:vAlign w:val="center"/>
          </w:tcPr>
          <w:p>
            <w:pPr>
              <w:pStyle w:val="14"/>
              <w:rPr>
                <w:rFonts w:hint="eastAsia" w:eastAsia="宋体"/>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7" w:hRule="exact"/>
          <w:jc w:val="center"/>
        </w:trPr>
        <w:tc>
          <w:tcPr>
            <w:tcW w:w="332" w:type="pct"/>
            <w:vMerge w:val="restart"/>
            <w:shd w:val="clear" w:color="auto" w:fill="auto"/>
            <w:vAlign w:val="center"/>
          </w:tcPr>
          <w:p>
            <w:pPr>
              <w:pStyle w:val="14"/>
            </w:pPr>
            <w:r>
              <w:rPr>
                <w:rFonts w:hint="eastAsia"/>
              </w:rPr>
              <w:t>4</w:t>
            </w:r>
          </w:p>
        </w:tc>
        <w:tc>
          <w:tcPr>
            <w:tcW w:w="686" w:type="pct"/>
            <w:vMerge w:val="restart"/>
            <w:shd w:val="clear" w:color="auto" w:fill="auto"/>
            <w:vAlign w:val="center"/>
          </w:tcPr>
          <w:p>
            <w:pPr>
              <w:pStyle w:val="14"/>
            </w:pPr>
            <w:r>
              <w:rPr>
                <w:rFonts w:hint="eastAsia"/>
                <w:lang w:val="en-US" w:eastAsia="zh-CN"/>
              </w:rPr>
              <w:t>因地制宜</w:t>
            </w:r>
            <w:r>
              <w:t>采用透水铺装</w:t>
            </w:r>
          </w:p>
        </w:tc>
        <w:tc>
          <w:tcPr>
            <w:tcW w:w="3291" w:type="pct"/>
            <w:shd w:val="clear" w:color="auto" w:fill="auto"/>
            <w:vAlign w:val="center"/>
          </w:tcPr>
          <w:p>
            <w:pPr>
              <w:pStyle w:val="14"/>
              <w:rPr>
                <w:rFonts w:hint="eastAsia"/>
              </w:rPr>
            </w:pPr>
            <w:r>
              <w:rPr>
                <w:rFonts w:hint="eastAsia"/>
              </w:rPr>
              <w:t>非湿陷性场地</w:t>
            </w:r>
            <w:r>
              <w:rPr>
                <w:rFonts w:hint="eastAsia"/>
                <w:lang w:val="en-US" w:eastAsia="zh-CN"/>
              </w:rPr>
              <w:t>广场或城市道路非机动车道透水路面</w:t>
            </w:r>
            <w:r>
              <w:rPr>
                <w:rFonts w:hint="eastAsia"/>
              </w:rPr>
              <w:t>面积的比例</w:t>
            </w:r>
            <w:r>
              <w:rPr>
                <w:rFonts w:hint="eastAsia"/>
                <w:lang w:val="en-US" w:eastAsia="zh-CN"/>
              </w:rPr>
              <w:t>≥</w:t>
            </w:r>
            <w:r>
              <w:rPr>
                <w:rFonts w:hint="eastAsia"/>
              </w:rPr>
              <w:t>50%；湿陷性场地在路基基础消除湿陷性后</w:t>
            </w:r>
            <w:r>
              <w:rPr>
                <w:rFonts w:hint="eastAsia"/>
                <w:lang w:val="en-US" w:eastAsia="zh-CN"/>
              </w:rPr>
              <w:t>非机动车</w:t>
            </w:r>
            <w:r>
              <w:rPr>
                <w:rFonts w:hint="eastAsia"/>
              </w:rPr>
              <w:t>透水</w:t>
            </w:r>
            <w:r>
              <w:rPr>
                <w:rFonts w:hint="eastAsia"/>
                <w:lang w:val="en-US" w:eastAsia="zh-CN"/>
              </w:rPr>
              <w:t>路面</w:t>
            </w:r>
            <w:r>
              <w:rPr>
                <w:rFonts w:hint="eastAsia"/>
              </w:rPr>
              <w:t>面积的比例</w:t>
            </w:r>
            <w:r>
              <w:rPr>
                <w:rFonts w:hint="eastAsia"/>
                <w:lang w:val="en-US" w:eastAsia="zh-CN"/>
              </w:rPr>
              <w:t>≥</w:t>
            </w:r>
            <w:r>
              <w:rPr>
                <w:rFonts w:hint="eastAsia"/>
              </w:rPr>
              <w:t>30%</w:t>
            </w:r>
          </w:p>
        </w:tc>
        <w:tc>
          <w:tcPr>
            <w:tcW w:w="344" w:type="pct"/>
            <w:shd w:val="clear" w:color="auto" w:fill="auto"/>
            <w:vAlign w:val="center"/>
          </w:tcPr>
          <w:p>
            <w:pPr>
              <w:pStyle w:val="14"/>
              <w:rPr>
                <w:rFonts w:hint="eastAsia" w:eastAsia="宋体"/>
                <w:lang w:eastAsia="zh-CN"/>
              </w:rPr>
            </w:pPr>
            <w:r>
              <w:rPr>
                <w:rFonts w:hint="eastAsia"/>
                <w:lang w:val="en-US" w:eastAsia="zh-CN"/>
              </w:rPr>
              <w:t>2</w:t>
            </w:r>
          </w:p>
        </w:tc>
        <w:tc>
          <w:tcPr>
            <w:tcW w:w="344" w:type="pct"/>
            <w:vMerge w:val="restart"/>
            <w:shd w:val="clear" w:color="auto" w:fill="auto"/>
            <w:vAlign w:val="center"/>
          </w:tcPr>
          <w:p>
            <w:pPr>
              <w:pStyle w:val="14"/>
              <w:rPr>
                <w:rFonts w:hint="eastAsia" w:eastAsia="宋体"/>
                <w:lang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9"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pPr>
          </w:p>
        </w:tc>
        <w:tc>
          <w:tcPr>
            <w:tcW w:w="3291" w:type="pct"/>
            <w:shd w:val="clear" w:color="auto" w:fill="auto"/>
            <w:vAlign w:val="center"/>
          </w:tcPr>
          <w:p>
            <w:pPr>
              <w:pStyle w:val="14"/>
              <w:rPr>
                <w:rFonts w:hint="eastAsia"/>
              </w:rPr>
            </w:pPr>
            <w:r>
              <w:rPr>
                <w:rFonts w:hint="eastAsia"/>
              </w:rPr>
              <w:t>非湿陷性场地</w:t>
            </w:r>
            <w:r>
              <w:rPr>
                <w:rFonts w:hint="eastAsia"/>
                <w:lang w:val="en-US" w:eastAsia="zh-CN"/>
              </w:rPr>
              <w:t>广场或城市道路非机动车道透水路面</w:t>
            </w:r>
            <w:r>
              <w:rPr>
                <w:rFonts w:hint="eastAsia"/>
              </w:rPr>
              <w:t>面积的比例</w:t>
            </w:r>
            <w:r>
              <w:rPr>
                <w:rFonts w:hint="eastAsia"/>
                <w:lang w:val="en-US" w:eastAsia="zh-CN"/>
              </w:rPr>
              <w:t>≥6</w:t>
            </w:r>
            <w:r>
              <w:rPr>
                <w:rFonts w:hint="eastAsia"/>
              </w:rPr>
              <w:t>0%；湿陷性场地在路基基础消除湿陷性后</w:t>
            </w:r>
            <w:r>
              <w:rPr>
                <w:rFonts w:hint="eastAsia"/>
                <w:lang w:val="en-US" w:eastAsia="zh-CN"/>
              </w:rPr>
              <w:t>非机动车</w:t>
            </w:r>
            <w:r>
              <w:rPr>
                <w:rFonts w:hint="eastAsia"/>
              </w:rPr>
              <w:t>透水</w:t>
            </w:r>
            <w:r>
              <w:rPr>
                <w:rFonts w:hint="eastAsia"/>
                <w:lang w:val="en-US" w:eastAsia="zh-CN"/>
              </w:rPr>
              <w:t>路面</w:t>
            </w:r>
            <w:r>
              <w:rPr>
                <w:rFonts w:hint="eastAsia"/>
              </w:rPr>
              <w:t>面积的比例</w:t>
            </w:r>
            <w:r>
              <w:rPr>
                <w:rFonts w:hint="eastAsia"/>
                <w:lang w:val="en-US" w:eastAsia="zh-CN"/>
              </w:rPr>
              <w:t>≥4</w:t>
            </w:r>
            <w:r>
              <w:rPr>
                <w:rFonts w:hint="eastAsia"/>
              </w:rPr>
              <w:t>0%</w:t>
            </w:r>
          </w:p>
        </w:tc>
        <w:tc>
          <w:tcPr>
            <w:tcW w:w="344" w:type="pct"/>
            <w:shd w:val="clear" w:color="auto" w:fill="auto"/>
            <w:vAlign w:val="center"/>
          </w:tcPr>
          <w:p>
            <w:pPr>
              <w:pStyle w:val="14"/>
              <w:rPr>
                <w:rFonts w:hint="eastAsia" w:eastAsia="宋体"/>
                <w:lang w:eastAsia="zh-CN"/>
              </w:rPr>
            </w:pPr>
            <w:r>
              <w:rPr>
                <w:rFonts w:hint="eastAsia"/>
                <w:lang w:val="en-US" w:eastAsia="zh-CN"/>
              </w:rPr>
              <w:t>3</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2"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pPr>
          </w:p>
        </w:tc>
        <w:tc>
          <w:tcPr>
            <w:tcW w:w="3291" w:type="pct"/>
            <w:shd w:val="clear" w:color="auto" w:fill="auto"/>
            <w:vAlign w:val="center"/>
          </w:tcPr>
          <w:p>
            <w:pPr>
              <w:pStyle w:val="14"/>
              <w:rPr>
                <w:rFonts w:hint="eastAsia"/>
              </w:rPr>
            </w:pPr>
            <w:r>
              <w:rPr>
                <w:rFonts w:hint="eastAsia"/>
              </w:rPr>
              <w:t>非湿陷性场地</w:t>
            </w:r>
            <w:r>
              <w:rPr>
                <w:rFonts w:hint="eastAsia"/>
                <w:lang w:val="en-US" w:eastAsia="zh-CN"/>
              </w:rPr>
              <w:t>广场或城市道路非机动车道透水路面</w:t>
            </w:r>
            <w:r>
              <w:rPr>
                <w:rFonts w:hint="eastAsia"/>
              </w:rPr>
              <w:t>面积的比例</w:t>
            </w:r>
            <w:r>
              <w:rPr>
                <w:rFonts w:hint="eastAsia"/>
                <w:lang w:val="en-US" w:eastAsia="zh-CN"/>
              </w:rPr>
              <w:t>≥7</w:t>
            </w:r>
            <w:r>
              <w:rPr>
                <w:rFonts w:hint="eastAsia"/>
              </w:rPr>
              <w:t>0%；湿陷性场地在路基基础消除湿陷性后</w:t>
            </w:r>
            <w:r>
              <w:rPr>
                <w:rFonts w:hint="eastAsia"/>
                <w:lang w:val="en-US" w:eastAsia="zh-CN"/>
              </w:rPr>
              <w:t>非机动车</w:t>
            </w:r>
            <w:r>
              <w:rPr>
                <w:rFonts w:hint="eastAsia"/>
              </w:rPr>
              <w:t>透水</w:t>
            </w:r>
            <w:r>
              <w:rPr>
                <w:rFonts w:hint="eastAsia"/>
                <w:lang w:val="en-US" w:eastAsia="zh-CN"/>
              </w:rPr>
              <w:t>路面</w:t>
            </w:r>
            <w:r>
              <w:rPr>
                <w:rFonts w:hint="eastAsia"/>
              </w:rPr>
              <w:t>面积的比例</w:t>
            </w:r>
            <w:r>
              <w:rPr>
                <w:rFonts w:hint="eastAsia"/>
                <w:lang w:val="en-US" w:eastAsia="zh-CN"/>
              </w:rPr>
              <w:t>≥5</w:t>
            </w:r>
            <w:r>
              <w:rPr>
                <w:rFonts w:hint="eastAsia"/>
              </w:rPr>
              <w:t>0%</w:t>
            </w:r>
          </w:p>
        </w:tc>
        <w:tc>
          <w:tcPr>
            <w:tcW w:w="344" w:type="pct"/>
            <w:shd w:val="clear" w:color="auto" w:fill="auto"/>
            <w:vAlign w:val="center"/>
          </w:tcPr>
          <w:p>
            <w:pPr>
              <w:pStyle w:val="14"/>
              <w:rPr>
                <w:rFonts w:hint="eastAsia" w:eastAsia="宋体"/>
                <w:lang w:eastAsia="zh-CN"/>
              </w:rPr>
            </w:pPr>
            <w:r>
              <w:rPr>
                <w:rFonts w:hint="eastAsia"/>
                <w:lang w:val="en-US" w:eastAsia="zh-CN"/>
              </w:rPr>
              <w:t>4</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restart"/>
            <w:shd w:val="clear" w:color="auto" w:fill="auto"/>
            <w:vAlign w:val="center"/>
          </w:tcPr>
          <w:p>
            <w:pPr>
              <w:pStyle w:val="14"/>
            </w:pPr>
            <w:r>
              <w:rPr>
                <w:rFonts w:hint="eastAsia"/>
              </w:rPr>
              <w:t>5</w:t>
            </w:r>
          </w:p>
        </w:tc>
        <w:tc>
          <w:tcPr>
            <w:tcW w:w="686" w:type="pct"/>
            <w:vMerge w:val="restart"/>
            <w:shd w:val="clear" w:color="auto" w:fill="auto"/>
            <w:vAlign w:val="center"/>
          </w:tcPr>
          <w:p>
            <w:pPr>
              <w:pStyle w:val="14"/>
            </w:pPr>
            <w:r>
              <w:rPr>
                <w:rFonts w:hint="eastAsia"/>
              </w:rPr>
              <w:t>雨水径流控制</w:t>
            </w:r>
          </w:p>
        </w:tc>
        <w:tc>
          <w:tcPr>
            <w:tcW w:w="3291" w:type="pct"/>
            <w:shd w:val="clear" w:color="auto" w:fill="auto"/>
            <w:vAlign w:val="center"/>
          </w:tcPr>
          <w:p>
            <w:pPr>
              <w:pStyle w:val="14"/>
              <w:rPr>
                <w:rFonts w:hint="eastAsia"/>
              </w:rPr>
            </w:pPr>
            <w:r>
              <w:rPr>
                <w:rFonts w:hint="eastAsia"/>
              </w:rPr>
              <w:t>场地内≥60%的不透水下垫面径流受海绵</w:t>
            </w:r>
            <w:r>
              <w:rPr>
                <w:rFonts w:hint="eastAsia"/>
                <w:lang w:val="en-US" w:eastAsia="zh-CN"/>
              </w:rPr>
              <w:t>城市</w:t>
            </w:r>
            <w:r>
              <w:rPr>
                <w:rFonts w:hint="eastAsia"/>
              </w:rPr>
              <w:t>设施控制</w:t>
            </w:r>
          </w:p>
        </w:tc>
        <w:tc>
          <w:tcPr>
            <w:tcW w:w="344" w:type="pct"/>
            <w:shd w:val="clear" w:color="auto" w:fill="auto"/>
            <w:vAlign w:val="center"/>
          </w:tcPr>
          <w:p>
            <w:pPr>
              <w:pStyle w:val="14"/>
            </w:pPr>
            <w:r>
              <w:rPr>
                <w:rFonts w:hint="eastAsia"/>
              </w:rPr>
              <w:t>2</w:t>
            </w:r>
          </w:p>
        </w:tc>
        <w:tc>
          <w:tcPr>
            <w:tcW w:w="344" w:type="pct"/>
            <w:vMerge w:val="restart"/>
            <w:shd w:val="clear" w:color="auto" w:fill="auto"/>
            <w:vAlign w:val="center"/>
          </w:tcPr>
          <w:p>
            <w:pPr>
              <w:pStyle w:val="14"/>
              <w:rPr>
                <w:rFonts w:hint="eastAsia" w:eastAsia="宋体"/>
                <w:lang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pPr>
          </w:p>
        </w:tc>
        <w:tc>
          <w:tcPr>
            <w:tcW w:w="3291" w:type="pct"/>
            <w:shd w:val="clear" w:color="auto" w:fill="auto"/>
            <w:vAlign w:val="center"/>
          </w:tcPr>
          <w:p>
            <w:pPr>
              <w:pStyle w:val="14"/>
              <w:rPr>
                <w:rFonts w:hint="eastAsia"/>
              </w:rPr>
            </w:pPr>
            <w:r>
              <w:rPr>
                <w:rFonts w:hint="eastAsia"/>
              </w:rPr>
              <w:t>场地内≥70%的不透水下垫面径流受海绵</w:t>
            </w:r>
            <w:r>
              <w:rPr>
                <w:rFonts w:hint="eastAsia"/>
                <w:lang w:val="en-US" w:eastAsia="zh-CN"/>
              </w:rPr>
              <w:t>城市</w:t>
            </w:r>
            <w:r>
              <w:rPr>
                <w:rFonts w:hint="eastAsia"/>
              </w:rPr>
              <w:t>设施控制</w:t>
            </w:r>
          </w:p>
        </w:tc>
        <w:tc>
          <w:tcPr>
            <w:tcW w:w="344" w:type="pct"/>
            <w:shd w:val="clear" w:color="auto" w:fill="auto"/>
            <w:vAlign w:val="center"/>
          </w:tcPr>
          <w:p>
            <w:pPr>
              <w:pStyle w:val="14"/>
              <w:rPr>
                <w:rFonts w:hint="eastAsia" w:eastAsia="宋体"/>
                <w:lang w:eastAsia="zh-CN"/>
              </w:rPr>
            </w:pPr>
            <w:r>
              <w:rPr>
                <w:rFonts w:hint="eastAsia"/>
                <w:lang w:val="en-US" w:eastAsia="zh-CN"/>
              </w:rPr>
              <w:t>3</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pPr>
          </w:p>
        </w:tc>
        <w:tc>
          <w:tcPr>
            <w:tcW w:w="3291" w:type="pct"/>
            <w:shd w:val="clear" w:color="auto" w:fill="auto"/>
            <w:vAlign w:val="center"/>
          </w:tcPr>
          <w:p>
            <w:pPr>
              <w:pStyle w:val="14"/>
              <w:rPr>
                <w:rFonts w:hint="eastAsia"/>
              </w:rPr>
            </w:pPr>
            <w:r>
              <w:rPr>
                <w:rFonts w:hint="eastAsia"/>
              </w:rPr>
              <w:t>场地内≥80%的不透水下垫面径流受海绵</w:t>
            </w:r>
            <w:r>
              <w:rPr>
                <w:rFonts w:hint="eastAsia"/>
                <w:lang w:val="en-US" w:eastAsia="zh-CN"/>
              </w:rPr>
              <w:t>城市</w:t>
            </w:r>
            <w:r>
              <w:rPr>
                <w:rFonts w:hint="eastAsia"/>
              </w:rPr>
              <w:t>设施控制</w:t>
            </w:r>
          </w:p>
        </w:tc>
        <w:tc>
          <w:tcPr>
            <w:tcW w:w="344" w:type="pct"/>
            <w:shd w:val="clear" w:color="auto" w:fill="auto"/>
            <w:vAlign w:val="center"/>
          </w:tcPr>
          <w:p>
            <w:pPr>
              <w:pStyle w:val="14"/>
              <w:rPr>
                <w:rFonts w:hint="eastAsia" w:eastAsia="宋体"/>
                <w:lang w:eastAsia="zh-CN"/>
              </w:rPr>
            </w:pPr>
            <w:r>
              <w:rPr>
                <w:rFonts w:hint="eastAsia"/>
                <w:lang w:val="en-US" w:eastAsia="zh-CN"/>
              </w:rPr>
              <w:t>4</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32" w:type="pct"/>
            <w:vMerge w:val="restart"/>
            <w:shd w:val="clear" w:color="auto" w:fill="auto"/>
            <w:vAlign w:val="center"/>
          </w:tcPr>
          <w:p>
            <w:pPr>
              <w:pStyle w:val="14"/>
              <w:rPr>
                <w:rFonts w:hint="eastAsia" w:eastAsia="宋体"/>
                <w:lang w:val="en-US" w:eastAsia="zh-CN"/>
              </w:rPr>
            </w:pPr>
            <w:r>
              <w:rPr>
                <w:rFonts w:hint="eastAsia"/>
                <w:lang w:val="en-US" w:eastAsia="zh-CN"/>
              </w:rPr>
              <w:t>6</w:t>
            </w:r>
          </w:p>
        </w:tc>
        <w:tc>
          <w:tcPr>
            <w:tcW w:w="686" w:type="pct"/>
            <w:vMerge w:val="restart"/>
            <w:shd w:val="clear" w:color="auto" w:fill="auto"/>
            <w:vAlign w:val="center"/>
          </w:tcPr>
          <w:p>
            <w:pPr>
              <w:pStyle w:val="14"/>
              <w:rPr>
                <w:rFonts w:hint="eastAsia"/>
                <w:lang w:val="en-US" w:eastAsia="zh-CN"/>
              </w:rPr>
            </w:pPr>
            <w:r>
              <w:rPr>
                <w:rFonts w:hint="eastAsia"/>
                <w:lang w:val="en-US" w:eastAsia="zh-CN"/>
              </w:rPr>
              <w:t>场地内不产生内涝积水</w:t>
            </w:r>
          </w:p>
        </w:tc>
        <w:tc>
          <w:tcPr>
            <w:tcW w:w="3291" w:type="pct"/>
            <w:shd w:val="clear" w:color="auto" w:fill="auto"/>
            <w:vAlign w:val="center"/>
          </w:tcPr>
          <w:p>
            <w:pPr>
              <w:pStyle w:val="14"/>
              <w:rPr>
                <w:rFonts w:hint="eastAsia"/>
                <w:lang w:val="en-US" w:eastAsia="zh-CN"/>
              </w:rPr>
            </w:pPr>
            <w:r>
              <w:rPr>
                <w:rFonts w:hint="eastAsia"/>
                <w:lang w:val="en-US" w:eastAsia="zh-CN"/>
              </w:rPr>
              <w:t>合理竖向布置，海绵城市设施溢流口、溢流排出管与城市雨水管渠衔接，有利于雨水的收集和排放；海绵城市设施溢流口，排水能力不小于设计重现期计算流量的15倍</w:t>
            </w:r>
          </w:p>
        </w:tc>
        <w:tc>
          <w:tcPr>
            <w:tcW w:w="344" w:type="pct"/>
            <w:shd w:val="clear" w:color="auto" w:fill="auto"/>
            <w:vAlign w:val="center"/>
          </w:tcPr>
          <w:p>
            <w:pPr>
              <w:pStyle w:val="14"/>
              <w:rPr>
                <w:rFonts w:hint="default"/>
                <w:lang w:val="en-US" w:eastAsia="zh-CN"/>
              </w:rPr>
            </w:pPr>
            <w:r>
              <w:rPr>
                <w:rFonts w:hint="eastAsia"/>
                <w:lang w:val="en-US" w:eastAsia="zh-CN"/>
              </w:rPr>
              <w:t>3</w:t>
            </w:r>
          </w:p>
        </w:tc>
        <w:tc>
          <w:tcPr>
            <w:tcW w:w="344" w:type="pct"/>
            <w:vMerge w:val="restart"/>
            <w:shd w:val="clear" w:color="auto" w:fill="auto"/>
            <w:vAlign w:val="center"/>
          </w:tcPr>
          <w:p>
            <w:pPr>
              <w:pStyle w:val="14"/>
              <w:ind w:firstLine="0" w:firstLineChars="0"/>
              <w:rPr>
                <w:rFonts w:hint="eastAsia" w:ascii="Times New Roman" w:hAnsi="Times New Roman" w:eastAsia="宋体" w:cstheme="minorBidi"/>
                <w:kern w:val="2"/>
                <w:sz w:val="21"/>
                <w:szCs w:val="24"/>
                <w:lang w:val="en-US" w:eastAsia="zh-CN" w:bidi="ar-SA"/>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32" w:type="pct"/>
            <w:vMerge w:val="continue"/>
            <w:shd w:val="clear" w:color="auto" w:fill="auto"/>
            <w:vAlign w:val="center"/>
          </w:tcPr>
          <w:p>
            <w:pPr>
              <w:pStyle w:val="14"/>
            </w:pPr>
          </w:p>
        </w:tc>
        <w:tc>
          <w:tcPr>
            <w:tcW w:w="686" w:type="pct"/>
            <w:vMerge w:val="continue"/>
            <w:shd w:val="clear" w:color="auto" w:fill="auto"/>
            <w:vAlign w:val="center"/>
          </w:tcPr>
          <w:p>
            <w:pPr>
              <w:pStyle w:val="14"/>
              <w:rPr>
                <w:rFonts w:hint="eastAsia"/>
                <w:lang w:val="en-US" w:eastAsia="zh-CN"/>
              </w:rPr>
            </w:pPr>
          </w:p>
        </w:tc>
        <w:tc>
          <w:tcPr>
            <w:tcW w:w="3291" w:type="pct"/>
            <w:shd w:val="clear" w:color="auto" w:fill="auto"/>
            <w:vAlign w:val="center"/>
          </w:tcPr>
          <w:p>
            <w:pPr>
              <w:pStyle w:val="14"/>
              <w:rPr>
                <w:rFonts w:hint="eastAsia"/>
                <w:lang w:val="en-US" w:eastAsia="zh-CN"/>
              </w:rPr>
            </w:pPr>
            <w:r>
              <w:rPr>
                <w:rFonts w:hint="eastAsia"/>
                <w:lang w:val="en-US" w:eastAsia="zh-CN"/>
              </w:rPr>
              <w:t>具备上位规划要求的城市超标雨水行泄通道或涝水调蓄功能，与区域排涝除险系统良好衔接，与周边用地竖向规划、道路交通和市政管线等协同设计</w:t>
            </w:r>
          </w:p>
        </w:tc>
        <w:tc>
          <w:tcPr>
            <w:tcW w:w="344" w:type="pct"/>
            <w:shd w:val="clear" w:color="auto" w:fill="auto"/>
            <w:vAlign w:val="center"/>
          </w:tcPr>
          <w:p>
            <w:pPr>
              <w:pStyle w:val="14"/>
              <w:ind w:firstLine="0" w:firstLineChars="0"/>
              <w:rPr>
                <w:rFonts w:hint="eastAsia" w:ascii="Times New Roman" w:hAnsi="Times New Roman" w:eastAsia="宋体" w:cstheme="minorBidi"/>
                <w:kern w:val="2"/>
                <w:sz w:val="21"/>
                <w:szCs w:val="24"/>
                <w:lang w:val="en-US" w:eastAsia="zh-CN" w:bidi="ar-SA"/>
              </w:rPr>
            </w:pPr>
            <w:r>
              <w:rPr>
                <w:rFonts w:hint="eastAsia"/>
              </w:rPr>
              <w:t>3</w:t>
            </w:r>
          </w:p>
        </w:tc>
        <w:tc>
          <w:tcPr>
            <w:tcW w:w="344" w:type="pct"/>
            <w:vMerge w:val="continue"/>
            <w:shd w:val="clear" w:color="auto" w:fill="auto"/>
            <w:vAlign w:val="center"/>
          </w:tcPr>
          <w:p>
            <w:pPr>
              <w:pStyle w:val="14"/>
              <w:ind w:firstLine="0" w:firstLineChars="0"/>
              <w:rPr>
                <w:rFonts w:ascii="Times New Roman" w:hAnsi="Times New Roman" w:eastAsia="宋体" w:cstheme="minorBidi"/>
                <w:kern w:val="2"/>
                <w:sz w:val="21"/>
                <w:szCs w:val="24"/>
                <w:lang w:val="en-US" w:eastAsia="zh-CN" w:bidi="ar-SA"/>
              </w:rPr>
            </w:pPr>
          </w:p>
        </w:tc>
      </w:tr>
    </w:tbl>
    <w:p>
      <w:pPr>
        <w:rPr>
          <w:szCs w:val="32"/>
        </w:rPr>
      </w:pPr>
      <w:r>
        <w:rPr>
          <w:rFonts w:hint="eastAsia"/>
          <w:szCs w:val="32"/>
        </w:rPr>
        <w:br w:type="page"/>
      </w:r>
    </w:p>
    <w:p>
      <w:pPr>
        <w:pStyle w:val="13"/>
      </w:pPr>
      <w:r>
        <w:rPr>
          <w:rFonts w:hint="eastAsia"/>
        </w:rPr>
        <w:t>Ⅱ技术措施适宜性评价（</w:t>
      </w:r>
      <w:r>
        <w:rPr>
          <w:rFonts w:hint="eastAsia"/>
          <w:lang w:val="en-US" w:eastAsia="zh-CN"/>
        </w:rPr>
        <w:t>6</w:t>
      </w:r>
      <w:r>
        <w:rPr>
          <w:rFonts w:hint="eastAsia"/>
        </w:rPr>
        <w:t>0分）</w:t>
      </w:r>
    </w:p>
    <w:tbl>
      <w:tblPr>
        <w:tblStyle w:val="6"/>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31"/>
        <w:gridCol w:w="1130"/>
        <w:gridCol w:w="5417"/>
        <w:gridCol w:w="565"/>
        <w:gridCol w:w="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4" w:type="pct"/>
            <w:vMerge w:val="restart"/>
            <w:shd w:val="clear" w:color="auto" w:fill="auto"/>
            <w:vAlign w:val="center"/>
          </w:tcPr>
          <w:p>
            <w:pPr>
              <w:pStyle w:val="14"/>
            </w:pPr>
            <w:r>
              <w:t>序号</w:t>
            </w:r>
          </w:p>
        </w:tc>
        <w:tc>
          <w:tcPr>
            <w:tcW w:w="3987" w:type="pct"/>
            <w:gridSpan w:val="2"/>
            <w:vMerge w:val="restart"/>
            <w:shd w:val="clear" w:color="auto" w:fill="auto"/>
            <w:vAlign w:val="center"/>
          </w:tcPr>
          <w:p>
            <w:pPr>
              <w:pStyle w:val="14"/>
            </w:pPr>
            <w:r>
              <w:t>评价标准</w:t>
            </w:r>
          </w:p>
        </w:tc>
        <w:tc>
          <w:tcPr>
            <w:tcW w:w="688" w:type="pct"/>
            <w:gridSpan w:val="2"/>
            <w:shd w:val="clear" w:color="auto" w:fill="auto"/>
            <w:vAlign w:val="center"/>
          </w:tcPr>
          <w:p>
            <w:pPr>
              <w:pStyle w:val="14"/>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4" w:type="pct"/>
            <w:vMerge w:val="continue"/>
            <w:shd w:val="clear" w:color="auto" w:fill="auto"/>
            <w:vAlign w:val="center"/>
          </w:tcPr>
          <w:p>
            <w:pPr>
              <w:pStyle w:val="14"/>
            </w:pPr>
          </w:p>
        </w:tc>
        <w:tc>
          <w:tcPr>
            <w:tcW w:w="3987" w:type="pct"/>
            <w:gridSpan w:val="2"/>
            <w:vMerge w:val="continue"/>
            <w:shd w:val="clear" w:color="auto" w:fill="auto"/>
            <w:vAlign w:val="center"/>
          </w:tcPr>
          <w:p>
            <w:pPr>
              <w:pStyle w:val="14"/>
            </w:pPr>
          </w:p>
        </w:tc>
        <w:tc>
          <w:tcPr>
            <w:tcW w:w="344" w:type="pct"/>
            <w:shd w:val="clear" w:color="auto" w:fill="auto"/>
            <w:vAlign w:val="center"/>
          </w:tcPr>
          <w:p>
            <w:pPr>
              <w:pStyle w:val="14"/>
            </w:pPr>
            <w:r>
              <w:t>评分</w:t>
            </w:r>
          </w:p>
        </w:tc>
        <w:tc>
          <w:tcPr>
            <w:tcW w:w="344" w:type="pct"/>
            <w:shd w:val="clear" w:color="auto" w:fill="auto"/>
            <w:vAlign w:val="center"/>
          </w:tcPr>
          <w:p>
            <w:pPr>
              <w:pStyle w:val="14"/>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restart"/>
            <w:shd w:val="clear" w:color="auto" w:fill="auto"/>
            <w:vAlign w:val="center"/>
          </w:tcPr>
          <w:p>
            <w:pPr>
              <w:pStyle w:val="14"/>
              <w:rPr>
                <w:rFonts w:hint="eastAsia" w:eastAsia="宋体"/>
                <w:lang w:eastAsia="zh-CN"/>
              </w:rPr>
            </w:pPr>
            <w:r>
              <w:rPr>
                <w:rFonts w:hint="eastAsia"/>
                <w:lang w:val="en-US" w:eastAsia="zh-CN"/>
              </w:rPr>
              <w:t>7</w:t>
            </w:r>
          </w:p>
        </w:tc>
        <w:tc>
          <w:tcPr>
            <w:tcW w:w="688" w:type="pct"/>
            <w:vMerge w:val="restart"/>
            <w:shd w:val="clear" w:color="auto" w:fill="auto"/>
            <w:vAlign w:val="center"/>
          </w:tcPr>
          <w:p>
            <w:pPr>
              <w:pStyle w:val="14"/>
            </w:pPr>
            <w:r>
              <w:rPr>
                <w:rFonts w:hint="eastAsia"/>
              </w:rPr>
              <w:t>绿色设施系统布局合理</w:t>
            </w:r>
          </w:p>
        </w:tc>
        <w:tc>
          <w:tcPr>
            <w:tcW w:w="3299" w:type="pct"/>
            <w:shd w:val="clear" w:color="auto" w:fill="auto"/>
            <w:vAlign w:val="center"/>
          </w:tcPr>
          <w:p>
            <w:pPr>
              <w:pStyle w:val="14"/>
              <w:jc w:val="center"/>
            </w:pPr>
            <w:r>
              <w:rPr>
                <w:rFonts w:hint="eastAsia"/>
              </w:rPr>
              <w:t>1）绿色设施规模与其相应汇水区的雨水径流控制体积相匹配</w:t>
            </w:r>
          </w:p>
        </w:tc>
        <w:tc>
          <w:tcPr>
            <w:tcW w:w="344" w:type="pct"/>
            <w:shd w:val="clear" w:color="auto" w:fill="auto"/>
            <w:vAlign w:val="center"/>
          </w:tcPr>
          <w:p>
            <w:pPr>
              <w:pStyle w:val="14"/>
            </w:pPr>
            <w:r>
              <w:rPr>
                <w:rFonts w:hint="eastAsia"/>
              </w:rPr>
              <w:t>3</w:t>
            </w:r>
          </w:p>
        </w:tc>
        <w:tc>
          <w:tcPr>
            <w:tcW w:w="344" w:type="pct"/>
            <w:vMerge w:val="restart"/>
            <w:shd w:val="clear" w:color="auto" w:fill="auto"/>
            <w:vAlign w:val="center"/>
          </w:tcPr>
          <w:p>
            <w:pPr>
              <w:pStyle w:val="14"/>
              <w:rPr>
                <w:rFonts w:hint="eastAsia" w:eastAsia="宋体"/>
                <w:lang w:eastAsia="zh-CN"/>
              </w:rPr>
            </w:pPr>
            <w:r>
              <w:rPr>
                <w:rFonts w:hint="eastAsia"/>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pPr>
            <w:r>
              <w:rPr>
                <w:rFonts w:hint="eastAsia"/>
              </w:rPr>
              <w:t>2</w:t>
            </w:r>
            <w:r>
              <w:t>）</w:t>
            </w:r>
            <w:r>
              <w:rPr>
                <w:rFonts w:hint="eastAsia"/>
              </w:rPr>
              <w:t>绿色设施布设与强弱电杆、配电箱、充电桩、消火栓等其他设施无冲突，并与检查井井具井盖相协调</w:t>
            </w:r>
          </w:p>
        </w:tc>
        <w:tc>
          <w:tcPr>
            <w:tcW w:w="344" w:type="pct"/>
            <w:shd w:val="clear" w:color="auto" w:fill="auto"/>
            <w:vAlign w:val="center"/>
          </w:tcPr>
          <w:p>
            <w:pPr>
              <w:pStyle w:val="14"/>
            </w:pPr>
            <w:r>
              <w:rPr>
                <w:rFonts w:hint="eastAsia"/>
              </w:rPr>
              <w:t>3</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pPr>
            <w:r>
              <w:rPr>
                <w:rFonts w:hint="eastAsia"/>
              </w:rPr>
              <w:t>3）将</w:t>
            </w:r>
            <w:r>
              <w:rPr>
                <w:rFonts w:hint="eastAsia"/>
                <w:lang w:val="en-US" w:eastAsia="zh-CN"/>
              </w:rPr>
              <w:t>场地</w:t>
            </w:r>
            <w:r>
              <w:rPr>
                <w:rFonts w:hint="eastAsia"/>
              </w:rPr>
              <w:t>外</w:t>
            </w:r>
            <w:r>
              <w:rPr>
                <w:rFonts w:hint="eastAsia"/>
                <w:lang w:val="en-US" w:eastAsia="zh-CN"/>
              </w:rPr>
              <w:t>侧相邻</w:t>
            </w:r>
            <w:r>
              <w:rPr>
                <w:rFonts w:hint="eastAsia"/>
              </w:rPr>
              <w:t>绿地一并纳入进行</w:t>
            </w:r>
            <w:r>
              <w:rPr>
                <w:rFonts w:hint="eastAsia"/>
                <w:lang w:eastAsia="zh-CN"/>
              </w:rPr>
              <w:t>海绵城市设施</w:t>
            </w:r>
            <w:r>
              <w:rPr>
                <w:rFonts w:hint="eastAsia"/>
              </w:rPr>
              <w:t>布局，统筹雨水</w:t>
            </w:r>
            <w:r>
              <w:rPr>
                <w:rFonts w:hint="eastAsia"/>
                <w:lang w:val="en-US" w:eastAsia="zh-CN"/>
              </w:rPr>
              <w:t>蓄排与</w:t>
            </w:r>
            <w:r>
              <w:rPr>
                <w:rFonts w:hint="eastAsia"/>
              </w:rPr>
              <w:t>利用</w:t>
            </w:r>
          </w:p>
        </w:tc>
        <w:tc>
          <w:tcPr>
            <w:tcW w:w="344" w:type="pct"/>
            <w:shd w:val="clear" w:color="auto" w:fill="auto"/>
            <w:vAlign w:val="center"/>
          </w:tcPr>
          <w:p>
            <w:pPr>
              <w:pStyle w:val="14"/>
              <w:rPr>
                <w:rFonts w:hint="eastAsia" w:eastAsia="宋体"/>
                <w:lang w:eastAsia="zh-CN"/>
              </w:rPr>
            </w:pPr>
            <w:r>
              <w:rPr>
                <w:rFonts w:hint="eastAsia"/>
                <w:lang w:val="en-US" w:eastAsia="zh-CN"/>
              </w:rPr>
              <w:t>3</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restart"/>
            <w:shd w:val="clear" w:color="auto" w:fill="auto"/>
            <w:vAlign w:val="center"/>
          </w:tcPr>
          <w:p>
            <w:pPr>
              <w:pStyle w:val="14"/>
              <w:rPr>
                <w:rFonts w:hint="eastAsia" w:eastAsia="宋体"/>
                <w:lang w:eastAsia="zh-CN"/>
              </w:rPr>
            </w:pPr>
            <w:r>
              <w:rPr>
                <w:rFonts w:hint="eastAsia"/>
                <w:lang w:val="en-US" w:eastAsia="zh-CN"/>
              </w:rPr>
              <w:t>8</w:t>
            </w:r>
          </w:p>
        </w:tc>
        <w:tc>
          <w:tcPr>
            <w:tcW w:w="688" w:type="pct"/>
            <w:vMerge w:val="restart"/>
            <w:shd w:val="clear" w:color="auto" w:fill="auto"/>
            <w:vAlign w:val="center"/>
          </w:tcPr>
          <w:p>
            <w:pPr>
              <w:pStyle w:val="14"/>
            </w:pPr>
            <w:r>
              <w:rPr>
                <w:rFonts w:hint="eastAsia"/>
              </w:rPr>
              <w:t>绿色设施选择适宜</w:t>
            </w:r>
          </w:p>
        </w:tc>
        <w:tc>
          <w:tcPr>
            <w:tcW w:w="3299" w:type="pct"/>
            <w:shd w:val="clear" w:color="auto" w:fill="auto"/>
            <w:vAlign w:val="center"/>
          </w:tcPr>
          <w:p>
            <w:pPr>
              <w:pStyle w:val="14"/>
              <w:jc w:val="center"/>
            </w:pPr>
            <w:r>
              <w:rPr>
                <w:rFonts w:hint="eastAsia"/>
              </w:rPr>
              <w:t>1）绿色设施结构满足功能、安全性要求，对道路基础结构不产生危害</w:t>
            </w:r>
          </w:p>
        </w:tc>
        <w:tc>
          <w:tcPr>
            <w:tcW w:w="344" w:type="pct"/>
            <w:shd w:val="clear" w:color="auto" w:fill="auto"/>
            <w:vAlign w:val="center"/>
          </w:tcPr>
          <w:p>
            <w:pPr>
              <w:pStyle w:val="14"/>
            </w:pPr>
            <w:r>
              <w:rPr>
                <w:rFonts w:hint="eastAsia"/>
              </w:rPr>
              <w:t>2</w:t>
            </w:r>
          </w:p>
        </w:tc>
        <w:tc>
          <w:tcPr>
            <w:tcW w:w="344" w:type="pct"/>
            <w:vMerge w:val="restart"/>
            <w:shd w:val="clear" w:color="auto" w:fill="auto"/>
            <w:vAlign w:val="center"/>
          </w:tcPr>
          <w:p>
            <w:pPr>
              <w:pStyle w:val="14"/>
              <w:rPr>
                <w:rFonts w:hint="default" w:eastAsia="宋体"/>
                <w:lang w:val="en-US" w:eastAsia="zh-CN"/>
              </w:rPr>
            </w:pPr>
            <w:r>
              <w:rPr>
                <w:rFonts w:hint="eastAsia"/>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rPr>
                <w:rFonts w:hint="eastAsia"/>
                <w:lang w:val="en-US" w:eastAsia="zh-CN"/>
              </w:rPr>
            </w:pPr>
            <w:r>
              <w:rPr>
                <w:rFonts w:hint="eastAsia"/>
                <w:lang w:val="en-US" w:eastAsia="zh-CN"/>
              </w:rPr>
              <w:t>2）渗滞、调蓄等绿色设施排空时间符合有关标准要求，并考虑悬浮物（SS）去除效果、径流体积控制效果、蚊蝇滋生等问题</w:t>
            </w:r>
          </w:p>
        </w:tc>
        <w:tc>
          <w:tcPr>
            <w:tcW w:w="344" w:type="pct"/>
            <w:shd w:val="clear" w:color="auto" w:fill="auto"/>
            <w:vAlign w:val="center"/>
          </w:tcPr>
          <w:p>
            <w:pPr>
              <w:pStyle w:val="14"/>
            </w:pPr>
            <w:r>
              <w:rPr>
                <w:rFonts w:hint="eastAsia"/>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rPr>
                <w:rFonts w:hint="eastAsia"/>
                <w:lang w:val="en-US" w:eastAsia="zh-CN"/>
              </w:rPr>
            </w:pPr>
            <w:r>
              <w:rPr>
                <w:rFonts w:hint="eastAsia"/>
                <w:lang w:val="en-US" w:eastAsia="zh-CN"/>
              </w:rPr>
              <w:t>3）接纳路面径流雨水的海绵城市设施具有截留或沉淀功能的措施</w:t>
            </w:r>
          </w:p>
        </w:tc>
        <w:tc>
          <w:tcPr>
            <w:tcW w:w="344" w:type="pct"/>
            <w:shd w:val="clear" w:color="auto" w:fill="auto"/>
            <w:vAlign w:val="center"/>
          </w:tcPr>
          <w:p>
            <w:pPr>
              <w:pStyle w:val="14"/>
              <w:rPr>
                <w:rFonts w:hint="eastAsia" w:eastAsia="宋体"/>
                <w:lang w:eastAsia="zh-CN"/>
              </w:rPr>
            </w:pPr>
            <w:r>
              <w:rPr>
                <w:rFonts w:hint="eastAsia"/>
                <w:lang w:val="en-US" w:eastAsia="zh-CN"/>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rPr>
                <w:rFonts w:hint="eastAsia"/>
                <w:lang w:val="en-US" w:eastAsia="zh-CN"/>
              </w:rPr>
            </w:pPr>
            <w:r>
              <w:rPr>
                <w:rFonts w:hint="eastAsia"/>
                <w:lang w:val="en-US" w:eastAsia="zh-CN"/>
              </w:rPr>
              <w:t>4）利用道路周边的水体、湿地、坑塘等进行路面雨水净化、调蓄、储存，合理配置水生植物，构建良好水生态环境</w:t>
            </w:r>
          </w:p>
        </w:tc>
        <w:tc>
          <w:tcPr>
            <w:tcW w:w="344" w:type="pct"/>
            <w:shd w:val="clear" w:color="auto" w:fill="auto"/>
            <w:vAlign w:val="center"/>
          </w:tcPr>
          <w:p>
            <w:pPr>
              <w:pStyle w:val="14"/>
              <w:rPr>
                <w:rFonts w:hint="eastAsia" w:eastAsia="宋体"/>
                <w:lang w:eastAsia="zh-CN"/>
              </w:rPr>
            </w:pPr>
            <w:r>
              <w:rPr>
                <w:rFonts w:hint="eastAsia"/>
                <w:lang w:val="en-US" w:eastAsia="zh-CN"/>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rPr>
                <w:rFonts w:hint="default"/>
                <w:lang w:val="en-US" w:eastAsia="zh-CN"/>
              </w:rPr>
            </w:pPr>
            <w:r>
              <w:rPr>
                <w:rFonts w:hint="eastAsia"/>
                <w:lang w:val="en-US" w:eastAsia="zh-CN"/>
              </w:rPr>
              <w:t>5）绿色设施与景观协同设计，成为景观的主要节点</w:t>
            </w:r>
          </w:p>
        </w:tc>
        <w:tc>
          <w:tcPr>
            <w:tcW w:w="344" w:type="pct"/>
            <w:shd w:val="clear" w:color="auto" w:fill="auto"/>
            <w:vAlign w:val="center"/>
          </w:tcPr>
          <w:p>
            <w:pPr>
              <w:pStyle w:val="14"/>
              <w:rPr>
                <w:rFonts w:hint="eastAsia" w:eastAsia="宋体"/>
                <w:lang w:val="en-US" w:eastAsia="zh-CN"/>
              </w:rPr>
            </w:pPr>
            <w:r>
              <w:rPr>
                <w:rFonts w:hint="eastAsia"/>
                <w:lang w:val="en-US" w:eastAsia="zh-CN"/>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rPr>
                <w:rFonts w:hint="eastAsia"/>
                <w:lang w:val="en-US" w:eastAsia="zh-CN"/>
              </w:rPr>
            </w:pPr>
            <w:r>
              <w:rPr>
                <w:rFonts w:hint="eastAsia"/>
                <w:lang w:val="en-US" w:eastAsia="zh-CN"/>
              </w:rPr>
              <w:t>6）绿色设施内块石、碎石的选择、摆放与景观融合度高，与周边植物搭配合理</w:t>
            </w:r>
          </w:p>
        </w:tc>
        <w:tc>
          <w:tcPr>
            <w:tcW w:w="344" w:type="pct"/>
            <w:shd w:val="clear" w:color="auto" w:fill="auto"/>
            <w:vAlign w:val="center"/>
          </w:tcPr>
          <w:p>
            <w:pPr>
              <w:pStyle w:val="14"/>
              <w:rPr>
                <w:rFonts w:hint="default"/>
                <w:lang w:val="en-US" w:eastAsia="zh-CN"/>
              </w:rPr>
            </w:pPr>
            <w:r>
              <w:rPr>
                <w:rFonts w:hint="eastAsia"/>
                <w:lang w:val="en-US" w:eastAsia="zh-CN"/>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rPr>
                <w:rFonts w:hint="eastAsia"/>
                <w:highlight w:val="green"/>
                <w:lang w:val="en-US" w:eastAsia="zh-CN"/>
              </w:rPr>
            </w:pPr>
            <w:r>
              <w:rPr>
                <w:rFonts w:hint="eastAsia"/>
                <w:lang w:val="en-US" w:eastAsia="zh-CN"/>
              </w:rPr>
              <w:t>7）绿色设施进水区植物具有耐冲刷性，蓄水区植物具有耐淹、抗污、抗旱性，耐淹能力与设计排空时间相符</w:t>
            </w:r>
          </w:p>
        </w:tc>
        <w:tc>
          <w:tcPr>
            <w:tcW w:w="344" w:type="pct"/>
            <w:shd w:val="clear" w:color="auto" w:fill="auto"/>
            <w:vAlign w:val="center"/>
          </w:tcPr>
          <w:p>
            <w:pPr>
              <w:pStyle w:val="14"/>
              <w:rPr>
                <w:rFonts w:hint="default"/>
                <w:lang w:val="en-US" w:eastAsia="zh-CN"/>
              </w:rPr>
            </w:pPr>
            <w:r>
              <w:rPr>
                <w:rFonts w:hint="eastAsia"/>
                <w:lang w:val="en-US" w:eastAsia="zh-CN"/>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restart"/>
            <w:shd w:val="clear" w:color="auto" w:fill="auto"/>
            <w:vAlign w:val="center"/>
          </w:tcPr>
          <w:p>
            <w:pPr>
              <w:pStyle w:val="14"/>
              <w:rPr>
                <w:rFonts w:hint="eastAsia" w:eastAsia="宋体"/>
                <w:lang w:eastAsia="zh-CN"/>
              </w:rPr>
            </w:pPr>
            <w:r>
              <w:rPr>
                <w:rFonts w:hint="eastAsia"/>
                <w:lang w:val="en-US" w:eastAsia="zh-CN"/>
              </w:rPr>
              <w:t>9</w:t>
            </w:r>
          </w:p>
        </w:tc>
        <w:tc>
          <w:tcPr>
            <w:tcW w:w="688" w:type="pct"/>
            <w:vMerge w:val="restart"/>
            <w:shd w:val="clear" w:color="auto" w:fill="auto"/>
            <w:vAlign w:val="center"/>
          </w:tcPr>
          <w:p>
            <w:pPr>
              <w:pStyle w:val="14"/>
            </w:pPr>
            <w:r>
              <w:rPr>
                <w:rFonts w:hint="eastAsia"/>
                <w:lang w:eastAsia="zh-CN"/>
              </w:rPr>
              <w:t>径流污染</w:t>
            </w:r>
            <w:r>
              <w:rPr>
                <w:rFonts w:hint="eastAsia"/>
              </w:rPr>
              <w:t>控制措施</w:t>
            </w:r>
          </w:p>
        </w:tc>
        <w:tc>
          <w:tcPr>
            <w:tcW w:w="3299" w:type="pct"/>
            <w:shd w:val="clear" w:color="auto" w:fill="auto"/>
            <w:vAlign w:val="center"/>
          </w:tcPr>
          <w:p>
            <w:pPr>
              <w:pStyle w:val="14"/>
              <w:jc w:val="center"/>
            </w:pPr>
            <w:r>
              <w:rPr>
                <w:rFonts w:hint="eastAsia"/>
              </w:rPr>
              <w:t>1</w:t>
            </w:r>
            <w:r>
              <w:rPr>
                <w:rFonts w:hint="eastAsia"/>
                <w:lang w:val="en-US" w:eastAsia="zh-CN"/>
              </w:rPr>
              <w:t>）生物滞留带进水口设置初期雨水沉淀、除砂等截污设施，能有效削减径流污染</w:t>
            </w:r>
          </w:p>
        </w:tc>
        <w:tc>
          <w:tcPr>
            <w:tcW w:w="344" w:type="pct"/>
            <w:shd w:val="clear" w:color="auto" w:fill="auto"/>
            <w:vAlign w:val="center"/>
          </w:tcPr>
          <w:p>
            <w:pPr>
              <w:pStyle w:val="14"/>
            </w:pPr>
            <w:r>
              <w:rPr>
                <w:rFonts w:hint="eastAsia"/>
              </w:rPr>
              <w:t>5</w:t>
            </w:r>
          </w:p>
        </w:tc>
        <w:tc>
          <w:tcPr>
            <w:tcW w:w="344" w:type="pct"/>
            <w:vMerge w:val="restart"/>
            <w:shd w:val="clear" w:color="auto" w:fill="auto"/>
            <w:vAlign w:val="center"/>
          </w:tcPr>
          <w:p>
            <w:pPr>
              <w:pStyle w:val="14"/>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pPr>
            <w:r>
              <w:t>2</w:t>
            </w:r>
            <w:r>
              <w:rPr>
                <w:rFonts w:hint="eastAsia"/>
              </w:rPr>
              <w:t>）采用具有拦污截污功能的雨水口或雨水沟，清理方便</w:t>
            </w:r>
          </w:p>
        </w:tc>
        <w:tc>
          <w:tcPr>
            <w:tcW w:w="344" w:type="pct"/>
            <w:shd w:val="clear" w:color="auto" w:fill="auto"/>
            <w:vAlign w:val="center"/>
          </w:tcPr>
          <w:p>
            <w:pPr>
              <w:pStyle w:val="14"/>
            </w:pPr>
            <w:r>
              <w:rPr>
                <w:rFonts w:hint="eastAsia"/>
              </w:rPr>
              <w:t>5</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restart"/>
            <w:shd w:val="clear" w:color="auto" w:fill="auto"/>
            <w:vAlign w:val="center"/>
          </w:tcPr>
          <w:p>
            <w:pPr>
              <w:pStyle w:val="14"/>
              <w:rPr>
                <w:rFonts w:hint="eastAsia" w:eastAsia="宋体"/>
                <w:lang w:eastAsia="zh-CN"/>
              </w:rPr>
            </w:pPr>
            <w:r>
              <w:rPr>
                <w:rFonts w:hint="eastAsia"/>
              </w:rPr>
              <w:t>1</w:t>
            </w:r>
            <w:r>
              <w:rPr>
                <w:rFonts w:hint="eastAsia"/>
                <w:lang w:val="en-US" w:eastAsia="zh-CN"/>
              </w:rPr>
              <w:t>0</w:t>
            </w:r>
          </w:p>
        </w:tc>
        <w:tc>
          <w:tcPr>
            <w:tcW w:w="688" w:type="pct"/>
            <w:vMerge w:val="restart"/>
            <w:shd w:val="clear" w:color="auto" w:fill="auto"/>
            <w:vAlign w:val="center"/>
          </w:tcPr>
          <w:p>
            <w:pPr>
              <w:pStyle w:val="14"/>
            </w:pPr>
            <w:r>
              <w:rPr>
                <w:rFonts w:hint="eastAsia"/>
              </w:rPr>
              <w:t>溢流式雨水口设置</w:t>
            </w:r>
          </w:p>
        </w:tc>
        <w:tc>
          <w:tcPr>
            <w:tcW w:w="3299" w:type="pct"/>
            <w:shd w:val="clear" w:color="auto" w:fill="auto"/>
            <w:vAlign w:val="center"/>
          </w:tcPr>
          <w:p>
            <w:pPr>
              <w:pStyle w:val="14"/>
              <w:jc w:val="center"/>
            </w:pPr>
            <w:r>
              <w:t>1</w:t>
            </w:r>
            <w:r>
              <w:rPr>
                <w:rFonts w:hint="eastAsia"/>
              </w:rPr>
              <w:t>）设计开孔路缘石或道路铺装高于绿地，地面雨水可顺利流入绿地</w:t>
            </w:r>
          </w:p>
        </w:tc>
        <w:tc>
          <w:tcPr>
            <w:tcW w:w="344" w:type="pct"/>
            <w:shd w:val="clear" w:color="auto" w:fill="auto"/>
            <w:vAlign w:val="center"/>
          </w:tcPr>
          <w:p>
            <w:pPr>
              <w:pStyle w:val="14"/>
            </w:pPr>
            <w:r>
              <w:rPr>
                <w:rFonts w:hint="eastAsia"/>
              </w:rPr>
              <w:t>3</w:t>
            </w:r>
          </w:p>
        </w:tc>
        <w:tc>
          <w:tcPr>
            <w:tcW w:w="344" w:type="pct"/>
            <w:vMerge w:val="restart"/>
            <w:shd w:val="clear" w:color="auto" w:fill="auto"/>
            <w:vAlign w:val="center"/>
          </w:tcPr>
          <w:p>
            <w:pPr>
              <w:pStyle w:val="14"/>
              <w:rPr>
                <w:rFonts w:hint="eastAsia" w:eastAsia="宋体"/>
                <w:lang w:eastAsia="zh-CN"/>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rPr>
                <w:rFonts w:hint="eastAsia" w:eastAsia="宋体"/>
                <w:lang w:eastAsia="zh-CN"/>
              </w:rPr>
            </w:pPr>
            <w:r>
              <w:rPr>
                <w:rFonts w:hint="eastAsia"/>
              </w:rPr>
              <w:t>2）</w:t>
            </w:r>
            <w:r>
              <w:rPr>
                <w:rFonts w:hint="eastAsia"/>
                <w:lang w:eastAsia="zh-CN"/>
              </w:rPr>
              <w:t>溢流雨水口高程设置符合蓄排要求，井边缘经过美化处理，与绿地景观衔接良好</w:t>
            </w:r>
          </w:p>
        </w:tc>
        <w:tc>
          <w:tcPr>
            <w:tcW w:w="344" w:type="pct"/>
            <w:shd w:val="clear" w:color="auto" w:fill="auto"/>
            <w:vAlign w:val="center"/>
          </w:tcPr>
          <w:p>
            <w:pPr>
              <w:pStyle w:val="14"/>
            </w:pPr>
            <w:r>
              <w:rPr>
                <w:rFonts w:hint="eastAsia"/>
              </w:rPr>
              <w:t>3</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jc w:val="center"/>
            </w:pPr>
            <w:r>
              <w:rPr>
                <w:rFonts w:hint="eastAsia"/>
              </w:rPr>
              <w:t>3）非湿陷性场地采用渗透式雨水口</w:t>
            </w:r>
          </w:p>
        </w:tc>
        <w:tc>
          <w:tcPr>
            <w:tcW w:w="344" w:type="pct"/>
            <w:shd w:val="clear" w:color="auto" w:fill="auto"/>
            <w:vAlign w:val="center"/>
          </w:tcPr>
          <w:p>
            <w:pPr>
              <w:pStyle w:val="14"/>
              <w:rPr>
                <w:rFonts w:hint="eastAsia" w:eastAsia="宋体"/>
                <w:lang w:eastAsia="zh-CN"/>
              </w:rPr>
            </w:pPr>
            <w:r>
              <w:rPr>
                <w:rFonts w:hint="eastAsia"/>
                <w:lang w:val="en-US" w:eastAsia="zh-CN"/>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6" w:hRule="exact"/>
          <w:jc w:val="center"/>
        </w:trPr>
        <w:tc>
          <w:tcPr>
            <w:tcW w:w="324" w:type="pct"/>
            <w:vMerge w:val="restart"/>
            <w:shd w:val="clear" w:color="auto" w:fill="auto"/>
            <w:vAlign w:val="center"/>
          </w:tcPr>
          <w:p>
            <w:pPr>
              <w:pStyle w:val="14"/>
              <w:rPr>
                <w:rFonts w:hint="eastAsia" w:eastAsia="宋体"/>
                <w:lang w:eastAsia="zh-CN"/>
              </w:rPr>
            </w:pPr>
            <w:r>
              <w:rPr>
                <w:rFonts w:hint="eastAsia"/>
              </w:rPr>
              <w:t>1</w:t>
            </w:r>
            <w:r>
              <w:rPr>
                <w:rFonts w:hint="eastAsia"/>
                <w:lang w:val="en-US" w:eastAsia="zh-CN"/>
              </w:rPr>
              <w:t>1</w:t>
            </w:r>
          </w:p>
        </w:tc>
        <w:tc>
          <w:tcPr>
            <w:tcW w:w="688" w:type="pct"/>
            <w:vMerge w:val="restart"/>
            <w:shd w:val="clear" w:color="auto" w:fill="auto"/>
            <w:vAlign w:val="center"/>
          </w:tcPr>
          <w:p>
            <w:pPr>
              <w:pStyle w:val="14"/>
            </w:pPr>
            <w:r>
              <w:rPr>
                <w:rFonts w:hint="eastAsia"/>
              </w:rPr>
              <w:t>高架</w:t>
            </w:r>
            <w:r>
              <w:rPr>
                <w:rFonts w:hint="eastAsia"/>
                <w:lang w:eastAsia="zh-CN"/>
              </w:rPr>
              <w:t>、</w:t>
            </w:r>
            <w:r>
              <w:rPr>
                <w:rFonts w:hint="eastAsia"/>
                <w:lang w:val="en-US" w:eastAsia="zh-CN"/>
              </w:rPr>
              <w:t>立交</w:t>
            </w:r>
            <w:r>
              <w:rPr>
                <w:rFonts w:hint="eastAsia"/>
              </w:rPr>
              <w:t>道路雨水管控</w:t>
            </w:r>
          </w:p>
        </w:tc>
        <w:tc>
          <w:tcPr>
            <w:tcW w:w="3299" w:type="pct"/>
            <w:shd w:val="clear" w:color="auto" w:fill="auto"/>
            <w:vAlign w:val="center"/>
          </w:tcPr>
          <w:p>
            <w:pPr>
              <w:pStyle w:val="14"/>
              <w:numPr>
                <w:ilvl w:val="0"/>
                <w:numId w:val="2"/>
              </w:numPr>
              <w:jc w:val="center"/>
              <w:rPr>
                <w:rFonts w:hint="eastAsia"/>
              </w:rPr>
            </w:pPr>
            <w:r>
              <w:rPr>
                <w:rFonts w:hint="eastAsia"/>
              </w:rPr>
              <w:t>利用高架桥、立交桥、架空硬质平台下方绿地设置调蓄设施，收集、消纳桥面或硬质架空平台雨水；绿地较少时，设置雨水罐等设施收集、净化、回用桥面雨水”</w:t>
            </w:r>
          </w:p>
        </w:tc>
        <w:tc>
          <w:tcPr>
            <w:tcW w:w="344" w:type="pct"/>
            <w:shd w:val="clear" w:color="auto" w:fill="auto"/>
            <w:vAlign w:val="center"/>
          </w:tcPr>
          <w:p>
            <w:pPr>
              <w:pStyle w:val="14"/>
            </w:pPr>
            <w:r>
              <w:rPr>
                <w:rFonts w:hint="eastAsia"/>
              </w:rPr>
              <w:t>3</w:t>
            </w:r>
          </w:p>
        </w:tc>
        <w:tc>
          <w:tcPr>
            <w:tcW w:w="344" w:type="pct"/>
            <w:vMerge w:val="restart"/>
            <w:shd w:val="clear" w:color="auto" w:fill="auto"/>
            <w:vAlign w:val="center"/>
          </w:tcPr>
          <w:p>
            <w:pPr>
              <w:pStyle w:val="14"/>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numPr>
                <w:ilvl w:val="0"/>
                <w:numId w:val="1"/>
              </w:numPr>
              <w:ind w:left="0" w:leftChars="0" w:firstLine="0" w:firstLineChars="0"/>
              <w:jc w:val="center"/>
              <w:rPr>
                <w:rFonts w:hint="eastAsia" w:cstheme="minorBidi"/>
                <w:kern w:val="2"/>
                <w:sz w:val="21"/>
                <w:szCs w:val="24"/>
                <w:highlight w:val="none"/>
                <w:lang w:val="en-US" w:eastAsia="zh-CN" w:bidi="ar-SA"/>
              </w:rPr>
            </w:pPr>
            <w:r>
              <w:rPr>
                <w:rFonts w:hint="eastAsia"/>
                <w:highlight w:val="none"/>
              </w:rPr>
              <w:t>高架</w:t>
            </w:r>
            <w:r>
              <w:rPr>
                <w:rFonts w:hint="eastAsia"/>
                <w:highlight w:val="none"/>
                <w:lang w:val="en-US" w:eastAsia="zh-CN"/>
              </w:rPr>
              <w:t>桥</w:t>
            </w:r>
            <w:r>
              <w:rPr>
                <w:rFonts w:hint="eastAsia"/>
                <w:highlight w:val="none"/>
                <w:lang w:eastAsia="zh-CN"/>
              </w:rPr>
              <w:t>、</w:t>
            </w:r>
            <w:r>
              <w:rPr>
                <w:rFonts w:hint="eastAsia"/>
                <w:highlight w:val="none"/>
                <w:lang w:val="en-US" w:eastAsia="zh-CN"/>
              </w:rPr>
              <w:t>立交桥、架空硬质平台</w:t>
            </w:r>
            <w:r>
              <w:rPr>
                <w:rFonts w:hint="eastAsia" w:cstheme="minorBidi"/>
                <w:kern w:val="2"/>
                <w:sz w:val="21"/>
                <w:szCs w:val="24"/>
                <w:highlight w:val="none"/>
                <w:lang w:val="en-US" w:eastAsia="zh-CN" w:bidi="ar-SA"/>
              </w:rPr>
              <w:t>≥70%不透水下垫面</w:t>
            </w:r>
            <w:r>
              <w:rPr>
                <w:rFonts w:hint="eastAsia" w:ascii="Times New Roman" w:hAnsi="Times New Roman" w:eastAsia="宋体" w:cstheme="minorBidi"/>
                <w:kern w:val="2"/>
                <w:sz w:val="21"/>
                <w:szCs w:val="24"/>
                <w:highlight w:val="none"/>
                <w:lang w:val="en-US" w:eastAsia="zh-CN" w:bidi="ar-SA"/>
              </w:rPr>
              <w:t>雨水消能</w:t>
            </w:r>
            <w:r>
              <w:rPr>
                <w:rFonts w:hint="eastAsia" w:cstheme="minorBidi"/>
                <w:kern w:val="2"/>
                <w:sz w:val="21"/>
                <w:szCs w:val="24"/>
                <w:highlight w:val="none"/>
                <w:lang w:val="en-US" w:eastAsia="zh-CN" w:bidi="ar-SA"/>
              </w:rPr>
              <w:t>后</w:t>
            </w:r>
            <w:r>
              <w:rPr>
                <w:rFonts w:hint="eastAsia" w:ascii="Times New Roman" w:hAnsi="Times New Roman" w:eastAsia="宋体" w:cstheme="minorBidi"/>
                <w:kern w:val="2"/>
                <w:sz w:val="21"/>
                <w:szCs w:val="24"/>
                <w:highlight w:val="none"/>
                <w:lang w:val="en-US" w:eastAsia="zh-CN" w:bidi="ar-SA"/>
              </w:rPr>
              <w:t>引</w:t>
            </w:r>
            <w:r>
              <w:rPr>
                <w:rFonts w:hint="eastAsia" w:cstheme="minorBidi"/>
                <w:kern w:val="2"/>
                <w:sz w:val="21"/>
                <w:szCs w:val="24"/>
                <w:highlight w:val="none"/>
                <w:lang w:val="en-US" w:eastAsia="zh-CN" w:bidi="ar-SA"/>
              </w:rPr>
              <w:t>入海绵城市设施进行控制</w:t>
            </w:r>
          </w:p>
          <w:p>
            <w:pPr>
              <w:keepNext w:val="0"/>
              <w:keepLines w:val="0"/>
              <w:widowControl/>
              <w:suppressLineNumbers w:val="0"/>
              <w:jc w:val="center"/>
              <w:rPr>
                <w:rFonts w:hint="eastAsia" w:cstheme="minorBidi"/>
                <w:kern w:val="2"/>
                <w:sz w:val="21"/>
                <w:szCs w:val="24"/>
                <w:lang w:val="en-US" w:eastAsia="zh-CN" w:bidi="ar-SA"/>
              </w:rPr>
            </w:pPr>
          </w:p>
          <w:p>
            <w:pPr>
              <w:keepNext w:val="0"/>
              <w:keepLines w:val="0"/>
              <w:widowControl/>
              <w:suppressLineNumbers w:val="0"/>
              <w:jc w:val="center"/>
              <w:rPr>
                <w:rFonts w:hint="default" w:cstheme="minorBidi"/>
                <w:kern w:val="2"/>
                <w:sz w:val="21"/>
                <w:szCs w:val="24"/>
                <w:lang w:val="en-US" w:eastAsia="zh-CN" w:bidi="ar-SA"/>
              </w:rPr>
            </w:pPr>
          </w:p>
          <w:p>
            <w:pPr>
              <w:keepNext w:val="0"/>
              <w:keepLines w:val="0"/>
              <w:widowControl/>
              <w:suppressLineNumbers w:val="0"/>
              <w:jc w:val="center"/>
            </w:pPr>
            <w:r>
              <w:rPr>
                <w:rFonts w:hint="default" w:ascii="STSong-Light" w:hAnsi="STSong-Light" w:eastAsia="STSong-Light" w:cs="STSong-Light"/>
                <w:color w:val="000000"/>
                <w:kern w:val="0"/>
                <w:sz w:val="16"/>
                <w:szCs w:val="16"/>
                <w:lang w:val="en-US" w:eastAsia="zh-CN" w:bidi="ar"/>
              </w:rPr>
              <w:t>I</w:t>
            </w:r>
          </w:p>
          <w:p>
            <w:pPr>
              <w:keepNext w:val="0"/>
              <w:keepLines w:val="0"/>
              <w:widowControl/>
              <w:suppressLineNumbers w:val="0"/>
              <w:jc w:val="center"/>
            </w:pPr>
            <w:r>
              <w:rPr>
                <w:rFonts w:hint="default" w:ascii="STSong-Light" w:hAnsi="STSong-Light" w:eastAsia="STSong-Light" w:cs="STSong-Light"/>
                <w:color w:val="000000"/>
                <w:kern w:val="0"/>
                <w:sz w:val="16"/>
                <w:szCs w:val="16"/>
                <w:lang w:val="en-US" w:eastAsia="zh-CN" w:bidi="ar"/>
              </w:rPr>
              <w:t>D 设 施 ;</w:t>
            </w:r>
          </w:p>
          <w:p>
            <w:pPr>
              <w:pStyle w:val="14"/>
              <w:numPr>
                <w:ilvl w:val="0"/>
                <w:numId w:val="1"/>
              </w:numPr>
              <w:ind w:left="0" w:leftChars="0" w:firstLine="0" w:firstLineChars="0"/>
              <w:jc w:val="center"/>
              <w:rPr>
                <w:rFonts w:hint="eastAsia"/>
                <w:strike/>
                <w:dstrike w:val="0"/>
                <w:highlight w:val="red"/>
              </w:rPr>
            </w:pPr>
          </w:p>
        </w:tc>
        <w:tc>
          <w:tcPr>
            <w:tcW w:w="344" w:type="pct"/>
            <w:shd w:val="clear" w:color="auto" w:fill="auto"/>
            <w:vAlign w:val="center"/>
          </w:tcPr>
          <w:p>
            <w:pPr>
              <w:pStyle w:val="14"/>
            </w:pPr>
            <w:r>
              <w:rPr>
                <w:rFonts w:hint="eastAsia"/>
              </w:rPr>
              <w:t>2</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1" w:hRule="exact"/>
          <w:jc w:val="center"/>
        </w:trPr>
        <w:tc>
          <w:tcPr>
            <w:tcW w:w="324" w:type="pct"/>
            <w:shd w:val="clear" w:color="auto" w:fill="auto"/>
            <w:vAlign w:val="center"/>
          </w:tcPr>
          <w:p>
            <w:pPr>
              <w:pStyle w:val="14"/>
              <w:rPr>
                <w:rFonts w:hint="eastAsia" w:eastAsia="宋体"/>
                <w:lang w:eastAsia="zh-CN"/>
              </w:rPr>
            </w:pPr>
            <w:r>
              <w:rPr>
                <w:rFonts w:hint="eastAsia"/>
              </w:rPr>
              <w:t>1</w:t>
            </w:r>
            <w:r>
              <w:rPr>
                <w:rFonts w:hint="eastAsia"/>
                <w:lang w:val="en-US" w:eastAsia="zh-CN"/>
              </w:rPr>
              <w:t>2</w:t>
            </w:r>
          </w:p>
        </w:tc>
        <w:tc>
          <w:tcPr>
            <w:tcW w:w="688" w:type="pct"/>
            <w:shd w:val="clear" w:color="auto" w:fill="auto"/>
            <w:vAlign w:val="center"/>
          </w:tcPr>
          <w:p>
            <w:pPr>
              <w:pStyle w:val="14"/>
            </w:pPr>
            <w:r>
              <w:rPr>
                <w:rFonts w:hint="eastAsia"/>
              </w:rPr>
              <w:t>合理设置安全防护设施</w:t>
            </w:r>
          </w:p>
        </w:tc>
        <w:tc>
          <w:tcPr>
            <w:tcW w:w="3299" w:type="pct"/>
            <w:shd w:val="clear" w:color="auto" w:fill="auto"/>
            <w:vAlign w:val="center"/>
          </w:tcPr>
          <w:p>
            <w:pPr>
              <w:pStyle w:val="14"/>
              <w:jc w:val="both"/>
            </w:pPr>
            <w:r>
              <w:t>对于径流污染严重、设施底部渗透面距离季节性最高地下水位或岩石层小于1m及距离建筑物基础小于3m</w:t>
            </w:r>
            <w:r>
              <w:rPr>
                <w:rFonts w:hint="eastAsia"/>
              </w:rPr>
              <w:t>（</w:t>
            </w:r>
            <w:r>
              <w:t>水平距离</w:t>
            </w:r>
            <w:r>
              <w:rPr>
                <w:rFonts w:hint="eastAsia"/>
              </w:rPr>
              <w:t>）</w:t>
            </w:r>
            <w:r>
              <w:t>的区域以及湿陷性黄土地区</w:t>
            </w:r>
            <w:r>
              <w:rPr>
                <w:rFonts w:hint="eastAsia"/>
              </w:rPr>
              <w:t>、煤矿采空区</w:t>
            </w:r>
            <w:r>
              <w:t>，采取</w:t>
            </w:r>
            <w:r>
              <w:rPr>
                <w:rFonts w:hint="eastAsia"/>
                <w:lang w:eastAsia="zh-CN"/>
              </w:rPr>
              <w:t>了</w:t>
            </w:r>
            <w:r>
              <w:t>必要的防渗措施</w:t>
            </w:r>
          </w:p>
        </w:tc>
        <w:tc>
          <w:tcPr>
            <w:tcW w:w="344" w:type="pct"/>
            <w:shd w:val="clear" w:color="auto" w:fill="auto"/>
            <w:vAlign w:val="center"/>
          </w:tcPr>
          <w:p>
            <w:pPr>
              <w:pStyle w:val="14"/>
            </w:pPr>
            <w:r>
              <w:rPr>
                <w:rFonts w:hint="eastAsia"/>
              </w:rPr>
              <w:t>3</w:t>
            </w:r>
          </w:p>
        </w:tc>
        <w:tc>
          <w:tcPr>
            <w:tcW w:w="344" w:type="pct"/>
            <w:shd w:val="clear" w:color="auto" w:fill="auto"/>
            <w:vAlign w:val="center"/>
          </w:tcPr>
          <w:p>
            <w:pPr>
              <w:pStyle w:val="14"/>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restart"/>
            <w:shd w:val="clear" w:color="auto" w:fill="auto"/>
            <w:vAlign w:val="center"/>
          </w:tcPr>
          <w:p>
            <w:pPr>
              <w:pStyle w:val="14"/>
              <w:rPr>
                <w:rFonts w:hint="default" w:eastAsia="宋体"/>
                <w:lang w:val="en-US" w:eastAsia="zh-CN"/>
              </w:rPr>
            </w:pPr>
            <w:r>
              <w:rPr>
                <w:rFonts w:hint="eastAsia"/>
                <w:lang w:val="en-US" w:eastAsia="zh-CN"/>
              </w:rPr>
              <w:t>13</w:t>
            </w:r>
          </w:p>
        </w:tc>
        <w:tc>
          <w:tcPr>
            <w:tcW w:w="688" w:type="pct"/>
            <w:vMerge w:val="restart"/>
            <w:shd w:val="clear" w:color="auto" w:fill="auto"/>
            <w:vAlign w:val="center"/>
          </w:tcPr>
          <w:p>
            <w:pPr>
              <w:pStyle w:val="14"/>
              <w:rPr>
                <w:rFonts w:hint="default" w:eastAsia="宋体"/>
                <w:lang w:val="en-US" w:eastAsia="zh-CN"/>
              </w:rPr>
            </w:pPr>
            <w:r>
              <w:rPr>
                <w:rFonts w:hint="eastAsia"/>
                <w:lang w:val="en-US" w:eastAsia="zh-CN"/>
              </w:rPr>
              <w:t>海绵城市设施与场地景观相适应</w:t>
            </w:r>
          </w:p>
        </w:tc>
        <w:tc>
          <w:tcPr>
            <w:tcW w:w="3299" w:type="pct"/>
            <w:shd w:val="clear" w:color="auto" w:fill="auto"/>
            <w:vAlign w:val="center"/>
          </w:tcPr>
          <w:p>
            <w:pPr>
              <w:pStyle w:val="14"/>
              <w:jc w:val="both"/>
              <w:rPr>
                <w:rFonts w:hint="default" w:eastAsia="宋体"/>
                <w:lang w:val="en-US" w:eastAsia="zh-CN"/>
              </w:rPr>
            </w:pPr>
            <w:r>
              <w:rPr>
                <w:rFonts w:hint="eastAsia"/>
                <w:lang w:val="en-US" w:eastAsia="zh-CN"/>
              </w:rPr>
              <w:t>1）海绵城市</w:t>
            </w:r>
            <w:r>
              <w:t>设施与整体环境景观相协调，成为</w:t>
            </w:r>
            <w:r>
              <w:rPr>
                <w:rFonts w:hint="eastAsia"/>
                <w:lang w:val="en-US" w:eastAsia="zh-CN"/>
              </w:rPr>
              <w:t>景观的主要节点</w:t>
            </w:r>
          </w:p>
        </w:tc>
        <w:tc>
          <w:tcPr>
            <w:tcW w:w="344" w:type="pct"/>
            <w:shd w:val="clear" w:color="auto" w:fill="auto"/>
            <w:vAlign w:val="center"/>
          </w:tcPr>
          <w:p>
            <w:pPr>
              <w:pStyle w:val="14"/>
              <w:rPr>
                <w:rFonts w:hint="eastAsia" w:eastAsia="宋体"/>
                <w:lang w:val="en-US" w:eastAsia="zh-CN"/>
              </w:rPr>
            </w:pPr>
            <w:r>
              <w:rPr>
                <w:rFonts w:hint="eastAsia"/>
                <w:lang w:val="en-US" w:eastAsia="zh-CN"/>
              </w:rPr>
              <w:t>2</w:t>
            </w:r>
          </w:p>
        </w:tc>
        <w:tc>
          <w:tcPr>
            <w:tcW w:w="344" w:type="pct"/>
            <w:vMerge w:val="restart"/>
            <w:shd w:val="clear" w:color="auto" w:fill="auto"/>
            <w:vAlign w:val="center"/>
          </w:tcPr>
          <w:p>
            <w:pPr>
              <w:pStyle w:val="14"/>
              <w:rPr>
                <w:rFonts w:hint="eastAsia" w:eastAsia="宋体"/>
                <w:lang w:val="en-US" w:eastAsia="zh-CN"/>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rPr>
                <w:rFonts w:hint="eastAsia"/>
                <w:lang w:val="en-US" w:eastAsia="zh-CN"/>
              </w:rPr>
            </w:pPr>
          </w:p>
        </w:tc>
        <w:tc>
          <w:tcPr>
            <w:tcW w:w="688" w:type="pct"/>
            <w:vMerge w:val="continue"/>
            <w:shd w:val="clear" w:color="auto" w:fill="auto"/>
            <w:vAlign w:val="center"/>
          </w:tcPr>
          <w:p>
            <w:pPr>
              <w:pStyle w:val="14"/>
              <w:rPr>
                <w:rFonts w:hint="eastAsia"/>
                <w:lang w:val="en-US" w:eastAsia="zh-CN"/>
              </w:rPr>
            </w:pPr>
          </w:p>
        </w:tc>
        <w:tc>
          <w:tcPr>
            <w:tcW w:w="3299" w:type="pct"/>
            <w:shd w:val="clear" w:color="auto" w:fill="auto"/>
            <w:vAlign w:val="center"/>
          </w:tcPr>
          <w:p>
            <w:pPr>
              <w:pStyle w:val="14"/>
              <w:jc w:val="both"/>
            </w:pPr>
            <w:r>
              <w:rPr>
                <w:rFonts w:hint="eastAsia"/>
                <w:lang w:val="en-US" w:eastAsia="zh-CN"/>
              </w:rPr>
              <w:t>2）</w:t>
            </w:r>
            <w:r>
              <w:rPr>
                <w:rFonts w:hint="eastAsia" w:cstheme="minorBidi"/>
                <w:kern w:val="2"/>
                <w:sz w:val="21"/>
                <w:szCs w:val="24"/>
                <w:lang w:val="en-US" w:eastAsia="zh-CN" w:bidi="ar-SA"/>
              </w:rPr>
              <w:t>海绵城市</w:t>
            </w:r>
            <w:r>
              <w:rPr>
                <w:rFonts w:ascii="Times New Roman" w:hAnsi="Times New Roman" w:eastAsia="宋体" w:cstheme="minorBidi"/>
                <w:kern w:val="2"/>
                <w:sz w:val="21"/>
                <w:szCs w:val="24"/>
                <w:lang w:val="en-US" w:eastAsia="zh-CN" w:bidi="ar-SA"/>
              </w:rPr>
              <w:t>设施内沉砂池、挡水堰的造型与</w:t>
            </w:r>
            <w:r>
              <w:rPr>
                <w:rFonts w:hint="eastAsia" w:cstheme="minorBidi"/>
                <w:kern w:val="2"/>
                <w:sz w:val="21"/>
                <w:szCs w:val="24"/>
                <w:lang w:val="en-US" w:eastAsia="zh-CN" w:bidi="ar-SA"/>
              </w:rPr>
              <w:t>景</w:t>
            </w:r>
            <w:r>
              <w:rPr>
                <w:rFonts w:ascii="Times New Roman" w:hAnsi="Times New Roman" w:eastAsia="宋体" w:cstheme="minorBidi"/>
                <w:kern w:val="2"/>
                <w:sz w:val="21"/>
                <w:szCs w:val="24"/>
                <w:lang w:val="en-US" w:eastAsia="zh-CN" w:bidi="ar-SA"/>
              </w:rPr>
              <w:t>观有机结合，与周边植物搭配合理</w:t>
            </w:r>
          </w:p>
        </w:tc>
        <w:tc>
          <w:tcPr>
            <w:tcW w:w="344" w:type="pct"/>
            <w:shd w:val="clear" w:color="auto" w:fill="auto"/>
            <w:vAlign w:val="center"/>
          </w:tcPr>
          <w:p>
            <w:pPr>
              <w:pStyle w:val="14"/>
              <w:rPr>
                <w:rFonts w:hint="eastAsia" w:eastAsia="宋体"/>
                <w:lang w:val="en-US" w:eastAsia="zh-CN"/>
              </w:rPr>
            </w:pPr>
            <w:r>
              <w:rPr>
                <w:rFonts w:hint="eastAsia"/>
                <w:lang w:val="en-US" w:eastAsia="zh-CN"/>
              </w:rPr>
              <w:t>2</w:t>
            </w:r>
          </w:p>
        </w:tc>
        <w:tc>
          <w:tcPr>
            <w:tcW w:w="344" w:type="pct"/>
            <w:vMerge w:val="continue"/>
            <w:shd w:val="clear" w:color="auto" w:fill="auto"/>
            <w:vAlign w:val="center"/>
          </w:tcPr>
          <w:p>
            <w:pPr>
              <w:pStyle w:val="14"/>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rPr>
                <w:rFonts w:hint="eastAsia"/>
                <w:lang w:val="en-US" w:eastAsia="zh-CN"/>
              </w:rPr>
            </w:pPr>
          </w:p>
        </w:tc>
        <w:tc>
          <w:tcPr>
            <w:tcW w:w="688" w:type="pct"/>
            <w:vMerge w:val="continue"/>
            <w:shd w:val="clear" w:color="auto" w:fill="auto"/>
            <w:vAlign w:val="center"/>
          </w:tcPr>
          <w:p>
            <w:pPr>
              <w:pStyle w:val="14"/>
              <w:rPr>
                <w:rFonts w:hint="eastAsia"/>
                <w:lang w:val="en-US" w:eastAsia="zh-CN"/>
              </w:rPr>
            </w:pPr>
          </w:p>
        </w:tc>
        <w:tc>
          <w:tcPr>
            <w:tcW w:w="3299" w:type="pct"/>
            <w:shd w:val="clear" w:color="auto" w:fill="auto"/>
            <w:vAlign w:val="top"/>
          </w:tcPr>
          <w:p>
            <w:pPr>
              <w:spacing w:before="107" w:line="257" w:lineRule="auto"/>
              <w:ind w:left="0" w:leftChars="0" w:firstLine="420" w:firstLineChars="200"/>
              <w:jc w:val="both"/>
              <w:rPr>
                <w:rFonts w:ascii="Times New Roman" w:hAnsi="Times New Roman" w:eastAsia="宋体" w:cstheme="minorBidi"/>
                <w:kern w:val="2"/>
                <w:sz w:val="21"/>
                <w:szCs w:val="24"/>
                <w:lang w:val="en-US" w:eastAsia="zh-CN" w:bidi="ar-SA"/>
              </w:rPr>
            </w:pPr>
            <w:r>
              <w:rPr>
                <w:rFonts w:hint="eastAsia" w:ascii="Times New Roman" w:hAnsi="Times New Roman" w:eastAsia="宋体" w:cstheme="minorBidi"/>
                <w:kern w:val="2"/>
                <w:sz w:val="21"/>
                <w:szCs w:val="24"/>
                <w:lang w:val="en-US" w:eastAsia="zh-CN" w:bidi="ar-SA"/>
              </w:rPr>
              <w:t>3）海绵城市</w:t>
            </w:r>
            <w:r>
              <w:rPr>
                <w:rFonts w:ascii="Times New Roman" w:hAnsi="Times New Roman" w:eastAsia="宋体" w:cstheme="minorBidi"/>
                <w:kern w:val="2"/>
                <w:sz w:val="21"/>
                <w:szCs w:val="24"/>
                <w:lang w:val="en-US" w:eastAsia="zh-CN" w:bidi="ar-SA"/>
              </w:rPr>
              <w:t>设施豁口与</w:t>
            </w:r>
            <w:r>
              <w:rPr>
                <w:rFonts w:hint="eastAsia" w:cstheme="minorBidi"/>
                <w:kern w:val="2"/>
                <w:sz w:val="21"/>
                <w:szCs w:val="24"/>
                <w:lang w:val="en-US" w:eastAsia="zh-CN" w:bidi="ar-SA"/>
              </w:rPr>
              <w:t>路缘石</w:t>
            </w:r>
            <w:r>
              <w:rPr>
                <w:rFonts w:ascii="Times New Roman" w:hAnsi="Times New Roman" w:eastAsia="宋体" w:cstheme="minorBidi"/>
                <w:kern w:val="2"/>
                <w:sz w:val="21"/>
                <w:szCs w:val="24"/>
                <w:lang w:val="en-US" w:eastAsia="zh-CN" w:bidi="ar-SA"/>
              </w:rPr>
              <w:t>造型结合且布置均匀</w:t>
            </w:r>
          </w:p>
        </w:tc>
        <w:tc>
          <w:tcPr>
            <w:tcW w:w="344" w:type="pct"/>
            <w:shd w:val="clear" w:color="auto" w:fill="auto"/>
            <w:vAlign w:val="center"/>
          </w:tcPr>
          <w:p>
            <w:pPr>
              <w:pStyle w:val="14"/>
              <w:rPr>
                <w:rFonts w:hint="eastAsia" w:eastAsia="宋体"/>
                <w:lang w:val="en-US" w:eastAsia="zh-CN"/>
              </w:rPr>
            </w:pPr>
            <w:r>
              <w:rPr>
                <w:rFonts w:hint="eastAsia"/>
                <w:lang w:val="en-US" w:eastAsia="zh-CN"/>
              </w:rPr>
              <w:t>2</w:t>
            </w:r>
          </w:p>
        </w:tc>
        <w:tc>
          <w:tcPr>
            <w:tcW w:w="344" w:type="pct"/>
            <w:vMerge w:val="continue"/>
            <w:shd w:val="clear" w:color="auto" w:fill="auto"/>
            <w:vAlign w:val="center"/>
          </w:tcPr>
          <w:p>
            <w:pPr>
              <w:pStyle w:val="14"/>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restart"/>
            <w:shd w:val="clear" w:color="auto" w:fill="auto"/>
            <w:vAlign w:val="center"/>
          </w:tcPr>
          <w:p>
            <w:pPr>
              <w:pStyle w:val="14"/>
              <w:rPr>
                <w:rFonts w:hint="eastAsia" w:eastAsia="宋体"/>
                <w:lang w:eastAsia="zh-CN"/>
              </w:rPr>
            </w:pPr>
            <w:r>
              <w:rPr>
                <w:rFonts w:hint="eastAsia"/>
              </w:rPr>
              <w:t>1</w:t>
            </w:r>
            <w:r>
              <w:rPr>
                <w:rFonts w:hint="eastAsia"/>
                <w:lang w:val="en-US" w:eastAsia="zh-CN"/>
              </w:rPr>
              <w:t>4</w:t>
            </w:r>
          </w:p>
        </w:tc>
        <w:tc>
          <w:tcPr>
            <w:tcW w:w="688" w:type="pct"/>
            <w:vMerge w:val="restart"/>
            <w:shd w:val="clear" w:color="auto" w:fill="auto"/>
            <w:vAlign w:val="center"/>
          </w:tcPr>
          <w:p>
            <w:pPr>
              <w:pStyle w:val="14"/>
            </w:pPr>
            <w:r>
              <w:rPr>
                <w:rFonts w:hint="eastAsia"/>
              </w:rPr>
              <w:t>绿色设施植物配置合理</w:t>
            </w:r>
          </w:p>
        </w:tc>
        <w:tc>
          <w:tcPr>
            <w:tcW w:w="3299" w:type="pct"/>
            <w:shd w:val="clear" w:color="auto" w:fill="auto"/>
            <w:vAlign w:val="center"/>
          </w:tcPr>
          <w:p>
            <w:pPr>
              <w:pStyle w:val="14"/>
              <w:numPr>
                <w:ilvl w:val="0"/>
                <w:numId w:val="0"/>
              </w:numPr>
              <w:jc w:val="both"/>
            </w:pPr>
            <w:r>
              <w:rPr>
                <w:rFonts w:hint="eastAsia"/>
                <w:lang w:val="en-US" w:eastAsia="zh-CN"/>
              </w:rPr>
              <w:t>1</w:t>
            </w:r>
            <w:r>
              <w:rPr>
                <w:rFonts w:hint="eastAsia"/>
                <w:lang w:eastAsia="zh-CN"/>
              </w:rPr>
              <w:t>）</w:t>
            </w:r>
            <w:r>
              <w:rPr>
                <w:rFonts w:hint="eastAsia"/>
              </w:rPr>
              <w:t>乡土植物</w:t>
            </w:r>
            <w:r>
              <w:rPr>
                <w:rFonts w:hint="eastAsia"/>
                <w:lang w:val="en-US" w:eastAsia="zh-CN"/>
              </w:rPr>
              <w:t>种植面积占海绵城市设施绿化面积的比例</w:t>
            </w:r>
            <w:r>
              <w:rPr>
                <w:rFonts w:hint="eastAsia"/>
              </w:rPr>
              <w:t>不低于0.6</w:t>
            </w:r>
          </w:p>
        </w:tc>
        <w:tc>
          <w:tcPr>
            <w:tcW w:w="344" w:type="pct"/>
            <w:shd w:val="clear" w:color="auto" w:fill="auto"/>
            <w:vAlign w:val="center"/>
          </w:tcPr>
          <w:p>
            <w:pPr>
              <w:pStyle w:val="14"/>
            </w:pPr>
            <w:r>
              <w:t>1</w:t>
            </w:r>
          </w:p>
        </w:tc>
        <w:tc>
          <w:tcPr>
            <w:tcW w:w="344" w:type="pct"/>
            <w:vMerge w:val="restart"/>
            <w:shd w:val="clear" w:color="auto" w:fill="auto"/>
            <w:vAlign w:val="center"/>
          </w:tcPr>
          <w:p>
            <w:pPr>
              <w:pStyle w:val="14"/>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ind w:firstLine="0" w:firstLineChars="0"/>
              <w:jc w:val="both"/>
            </w:pPr>
            <w:r>
              <w:t>2</w:t>
            </w:r>
            <w:r>
              <w:rPr>
                <w:rFonts w:hint="eastAsia"/>
              </w:rPr>
              <w:t>）采用耐淹耐旱</w:t>
            </w:r>
            <w:r>
              <w:rPr>
                <w:rFonts w:hint="eastAsia"/>
                <w:lang w:val="en-US" w:eastAsia="zh-CN"/>
              </w:rPr>
              <w:t>耐污</w:t>
            </w:r>
            <w:r>
              <w:rPr>
                <w:rFonts w:hint="eastAsia"/>
              </w:rPr>
              <w:t>植物，具有良好的水质净化性能</w:t>
            </w:r>
          </w:p>
        </w:tc>
        <w:tc>
          <w:tcPr>
            <w:tcW w:w="344" w:type="pct"/>
            <w:shd w:val="clear" w:color="auto" w:fill="auto"/>
            <w:vAlign w:val="center"/>
          </w:tcPr>
          <w:p>
            <w:pPr>
              <w:pStyle w:val="14"/>
            </w:pPr>
            <w:r>
              <w:t>1</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ind w:firstLine="0" w:firstLineChars="0"/>
              <w:jc w:val="both"/>
              <w:rPr>
                <w:highlight w:val="none"/>
              </w:rPr>
            </w:pPr>
            <w:r>
              <w:rPr>
                <w:rFonts w:hint="eastAsia"/>
                <w:highlight w:val="none"/>
              </w:rPr>
              <w:t>3）</w:t>
            </w:r>
            <w:r>
              <w:rPr>
                <w:rFonts w:hint="eastAsia"/>
                <w:highlight w:val="none"/>
                <w:lang w:val="en-US" w:eastAsia="zh-CN"/>
              </w:rPr>
              <w:t>单项设施物种数量不小于3类，</w:t>
            </w:r>
            <w:r>
              <w:rPr>
                <w:rFonts w:hint="eastAsia"/>
                <w:highlight w:val="none"/>
              </w:rPr>
              <w:t>乔灌草植物的比例搭配合理</w:t>
            </w:r>
          </w:p>
        </w:tc>
        <w:tc>
          <w:tcPr>
            <w:tcW w:w="344" w:type="pct"/>
            <w:shd w:val="clear" w:color="auto" w:fill="auto"/>
            <w:vAlign w:val="center"/>
          </w:tcPr>
          <w:p>
            <w:pPr>
              <w:pStyle w:val="14"/>
            </w:pPr>
            <w:r>
              <w:t>1</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ind w:firstLine="0" w:firstLineChars="0"/>
              <w:jc w:val="both"/>
              <w:rPr>
                <w:highlight w:val="none"/>
              </w:rPr>
            </w:pPr>
            <w:r>
              <w:rPr>
                <w:rFonts w:hint="eastAsia"/>
                <w:highlight w:val="none"/>
              </w:rPr>
              <w:t>4）植物色彩配置感官良好，季相变化丰富</w:t>
            </w:r>
            <w:r>
              <w:rPr>
                <w:rFonts w:hint="eastAsia"/>
                <w:highlight w:val="none"/>
                <w:lang w:eastAsia="zh-CN"/>
              </w:rPr>
              <w:t>，</w:t>
            </w:r>
            <w:r>
              <w:rPr>
                <w:rFonts w:hint="eastAsia"/>
                <w:highlight w:val="none"/>
                <w:lang w:val="en-US" w:eastAsia="zh-CN"/>
              </w:rPr>
              <w:t>注重冬季效果</w:t>
            </w:r>
          </w:p>
        </w:tc>
        <w:tc>
          <w:tcPr>
            <w:tcW w:w="344" w:type="pct"/>
            <w:shd w:val="clear" w:color="auto" w:fill="auto"/>
            <w:vAlign w:val="center"/>
          </w:tcPr>
          <w:p>
            <w:pPr>
              <w:pStyle w:val="14"/>
            </w:pPr>
            <w:r>
              <w:t>1</w:t>
            </w:r>
          </w:p>
        </w:tc>
        <w:tc>
          <w:tcPr>
            <w:tcW w:w="344" w:type="pct"/>
            <w:vMerge w:val="continue"/>
            <w:shd w:val="clear" w:color="auto" w:fill="auto"/>
            <w:vAlign w:val="center"/>
          </w:tcPr>
          <w:p>
            <w:pPr>
              <w:pStyle w:val="14"/>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4" w:type="pct"/>
            <w:vMerge w:val="continue"/>
            <w:shd w:val="clear" w:color="auto" w:fill="auto"/>
            <w:vAlign w:val="center"/>
          </w:tcPr>
          <w:p>
            <w:pPr>
              <w:pStyle w:val="14"/>
            </w:pPr>
          </w:p>
        </w:tc>
        <w:tc>
          <w:tcPr>
            <w:tcW w:w="688" w:type="pct"/>
            <w:vMerge w:val="continue"/>
            <w:shd w:val="clear" w:color="auto" w:fill="auto"/>
            <w:vAlign w:val="center"/>
          </w:tcPr>
          <w:p>
            <w:pPr>
              <w:pStyle w:val="14"/>
            </w:pPr>
          </w:p>
        </w:tc>
        <w:tc>
          <w:tcPr>
            <w:tcW w:w="3299" w:type="pct"/>
            <w:shd w:val="clear" w:color="auto" w:fill="auto"/>
            <w:vAlign w:val="center"/>
          </w:tcPr>
          <w:p>
            <w:pPr>
              <w:pStyle w:val="14"/>
              <w:ind w:firstLine="0" w:firstLineChars="0"/>
              <w:jc w:val="both"/>
              <w:rPr>
                <w:highlight w:val="none"/>
              </w:rPr>
            </w:pPr>
            <w:r>
              <w:rPr>
                <w:rFonts w:hint="eastAsia"/>
                <w:highlight w:val="none"/>
              </w:rPr>
              <w:t>5）配置具有驱蚊虫功能的植物</w:t>
            </w:r>
          </w:p>
        </w:tc>
        <w:tc>
          <w:tcPr>
            <w:tcW w:w="344" w:type="pct"/>
            <w:shd w:val="clear" w:color="auto" w:fill="auto"/>
            <w:vAlign w:val="center"/>
          </w:tcPr>
          <w:p>
            <w:pPr>
              <w:pStyle w:val="14"/>
            </w:pPr>
            <w:r>
              <w:rPr>
                <w:rFonts w:hint="eastAsia"/>
              </w:rPr>
              <w:t>1</w:t>
            </w:r>
          </w:p>
        </w:tc>
        <w:tc>
          <w:tcPr>
            <w:tcW w:w="344" w:type="pct"/>
            <w:vMerge w:val="continue"/>
            <w:shd w:val="clear" w:color="auto" w:fill="auto"/>
            <w:vAlign w:val="center"/>
          </w:tcPr>
          <w:p>
            <w:pPr>
              <w:pStyle w:val="14"/>
            </w:pPr>
          </w:p>
        </w:tc>
      </w:tr>
    </w:tbl>
    <w:p>
      <w:pPr>
        <w:rPr>
          <w:szCs w:val="32"/>
        </w:rPr>
      </w:pPr>
    </w:p>
    <w:p>
      <w:pPr>
        <w:rPr>
          <w:szCs w:val="32"/>
        </w:rPr>
      </w:pPr>
      <w:r>
        <w:rPr>
          <w:szCs w:val="32"/>
        </w:rPr>
        <w:br w:type="page"/>
      </w:r>
    </w:p>
    <w:p>
      <w:pPr>
        <w:pStyle w:val="13"/>
      </w:pPr>
      <w:r>
        <w:t>Ⅲ设计文件规范性（</w:t>
      </w:r>
      <w:r>
        <w:rPr>
          <w:rFonts w:hint="eastAsia"/>
        </w:rPr>
        <w:t>1</w:t>
      </w:r>
      <w:r>
        <w:rPr>
          <w:rFonts w:hint="eastAsia"/>
          <w:lang w:val="en-US" w:eastAsia="zh-CN"/>
        </w:rPr>
        <w:t>5</w:t>
      </w:r>
      <w:r>
        <w:t>分）</w:t>
      </w:r>
    </w:p>
    <w:tbl>
      <w:tblPr>
        <w:tblStyle w:val="6"/>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33"/>
        <w:gridCol w:w="1046"/>
        <w:gridCol w:w="5499"/>
        <w:gridCol w:w="565"/>
        <w:gridCol w:w="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5" w:type="pct"/>
            <w:vMerge w:val="restart"/>
            <w:shd w:val="clear" w:color="auto" w:fill="auto"/>
            <w:vAlign w:val="center"/>
          </w:tcPr>
          <w:p>
            <w:pPr>
              <w:pStyle w:val="14"/>
              <w:bidi w:val="0"/>
            </w:pPr>
            <w:r>
              <w:t>序号</w:t>
            </w:r>
          </w:p>
        </w:tc>
        <w:tc>
          <w:tcPr>
            <w:tcW w:w="3986" w:type="pct"/>
            <w:gridSpan w:val="2"/>
            <w:vMerge w:val="restart"/>
            <w:shd w:val="clear" w:color="auto" w:fill="auto"/>
            <w:vAlign w:val="center"/>
          </w:tcPr>
          <w:p>
            <w:pPr>
              <w:pStyle w:val="14"/>
              <w:bidi w:val="0"/>
            </w:pPr>
            <w:r>
              <w:t>评价标准</w:t>
            </w:r>
          </w:p>
        </w:tc>
        <w:tc>
          <w:tcPr>
            <w:tcW w:w="688" w:type="pct"/>
            <w:gridSpan w:val="2"/>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25" w:type="pct"/>
            <w:vMerge w:val="continue"/>
            <w:shd w:val="clear" w:color="auto" w:fill="auto"/>
            <w:vAlign w:val="center"/>
          </w:tcPr>
          <w:p>
            <w:pPr>
              <w:pStyle w:val="14"/>
              <w:bidi w:val="0"/>
            </w:pPr>
          </w:p>
        </w:tc>
        <w:tc>
          <w:tcPr>
            <w:tcW w:w="3986" w:type="pct"/>
            <w:gridSpan w:val="2"/>
            <w:vMerge w:val="continue"/>
            <w:shd w:val="clear" w:color="auto" w:fill="auto"/>
            <w:vAlign w:val="center"/>
          </w:tcPr>
          <w:p>
            <w:pPr>
              <w:pStyle w:val="14"/>
              <w:bidi w:val="0"/>
            </w:pPr>
          </w:p>
        </w:tc>
        <w:tc>
          <w:tcPr>
            <w:tcW w:w="344" w:type="pct"/>
            <w:shd w:val="clear" w:color="auto" w:fill="auto"/>
            <w:vAlign w:val="center"/>
          </w:tcPr>
          <w:p>
            <w:pPr>
              <w:pStyle w:val="14"/>
              <w:bidi w:val="0"/>
            </w:pPr>
            <w:r>
              <w:t>评分</w:t>
            </w:r>
          </w:p>
        </w:tc>
        <w:tc>
          <w:tcPr>
            <w:tcW w:w="344" w:type="pct"/>
            <w:shd w:val="clear" w:color="auto" w:fill="auto"/>
            <w:vAlign w:val="center"/>
          </w:tcPr>
          <w:p>
            <w:pPr>
              <w:pStyle w:val="14"/>
              <w:bidi w:val="0"/>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restart"/>
            <w:shd w:val="clear" w:color="auto" w:fill="auto"/>
            <w:vAlign w:val="center"/>
          </w:tcPr>
          <w:p>
            <w:pPr>
              <w:pStyle w:val="14"/>
              <w:bidi w:val="0"/>
              <w:rPr>
                <w:rFonts w:hint="eastAsia" w:eastAsia="宋体"/>
                <w:lang w:val="en-US" w:eastAsia="zh-CN"/>
              </w:rPr>
            </w:pPr>
            <w:r>
              <w:rPr>
                <w:rFonts w:hint="eastAsia"/>
              </w:rPr>
              <w:t>1</w:t>
            </w:r>
            <w:r>
              <w:rPr>
                <w:rFonts w:hint="eastAsia"/>
                <w:lang w:val="en-US" w:eastAsia="zh-CN"/>
              </w:rPr>
              <w:t>5</w:t>
            </w:r>
          </w:p>
        </w:tc>
        <w:tc>
          <w:tcPr>
            <w:tcW w:w="637" w:type="pct"/>
            <w:vMerge w:val="restart"/>
            <w:shd w:val="clear" w:color="auto" w:fill="auto"/>
            <w:vAlign w:val="center"/>
          </w:tcPr>
          <w:p>
            <w:pPr>
              <w:pStyle w:val="14"/>
              <w:bidi w:val="0"/>
            </w:pPr>
            <w:r>
              <w:rPr>
                <w:rFonts w:hint="eastAsia"/>
              </w:rPr>
              <w:t>设计文件规范</w:t>
            </w:r>
          </w:p>
        </w:tc>
        <w:tc>
          <w:tcPr>
            <w:tcW w:w="3349" w:type="pct"/>
            <w:shd w:val="clear" w:color="auto" w:fill="auto"/>
            <w:vAlign w:val="center"/>
          </w:tcPr>
          <w:p>
            <w:pPr>
              <w:pStyle w:val="14"/>
              <w:bidi w:val="0"/>
            </w:pPr>
            <w:r>
              <w:rPr>
                <w:rFonts w:hint="eastAsia"/>
              </w:rPr>
              <w:t>1）各设计阶段的图件、说明、计算书</w:t>
            </w:r>
            <w:r>
              <w:rPr>
                <w:rFonts w:hint="eastAsia"/>
                <w:lang w:eastAsia="zh-CN"/>
              </w:rPr>
              <w:t>、</w:t>
            </w:r>
            <w:r>
              <w:rPr>
                <w:rFonts w:hint="eastAsia"/>
                <w:lang w:val="en-US" w:eastAsia="zh-CN"/>
              </w:rPr>
              <w:t>地质勘察报告</w:t>
            </w:r>
            <w:r>
              <w:rPr>
                <w:rFonts w:hint="eastAsia"/>
              </w:rPr>
              <w:t>齐全，满足</w:t>
            </w:r>
            <w:r>
              <w:rPr>
                <w:rFonts w:hint="eastAsia"/>
                <w:lang w:val="en-US" w:eastAsia="zh-CN"/>
              </w:rPr>
              <w:t>山西</w:t>
            </w:r>
            <w:r>
              <w:rPr>
                <w:rFonts w:hint="eastAsia"/>
              </w:rPr>
              <w:t>省海绵城市设计文件编制深度规定要求</w:t>
            </w:r>
          </w:p>
        </w:tc>
        <w:tc>
          <w:tcPr>
            <w:tcW w:w="344" w:type="pct"/>
            <w:shd w:val="clear" w:color="auto" w:fill="auto"/>
            <w:vAlign w:val="center"/>
          </w:tcPr>
          <w:p>
            <w:pPr>
              <w:pStyle w:val="14"/>
              <w:bidi w:val="0"/>
            </w:pPr>
            <w:r>
              <w:rPr>
                <w:rFonts w:hint="eastAsia"/>
              </w:rPr>
              <w:t>1</w:t>
            </w:r>
          </w:p>
        </w:tc>
        <w:tc>
          <w:tcPr>
            <w:tcW w:w="344" w:type="pct"/>
            <w:vMerge w:val="restart"/>
            <w:shd w:val="clear" w:color="auto" w:fill="auto"/>
            <w:vAlign w:val="center"/>
          </w:tcPr>
          <w:p>
            <w:pPr>
              <w:pStyle w:val="14"/>
              <w:bidi w:val="0"/>
              <w:rPr>
                <w:rFonts w:hint="eastAsia"/>
                <w:lang w:eastAsia="zh-CN"/>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rPr>
                <w:rFonts w:hint="eastAsia"/>
                <w:lang w:val="en-US" w:eastAsia="zh-CN"/>
              </w:rPr>
            </w:pPr>
            <w:r>
              <w:rPr>
                <w:rFonts w:hint="eastAsia"/>
                <w:lang w:val="en-US" w:eastAsia="zh-CN"/>
              </w:rPr>
              <w:t>2）设计图纸完整，各项海绵城市设施汇水范围明确，径流路径清晰，设施与雨水管网衔接</w:t>
            </w:r>
          </w:p>
        </w:tc>
        <w:tc>
          <w:tcPr>
            <w:tcW w:w="344" w:type="pct"/>
            <w:shd w:val="clear" w:color="auto" w:fill="auto"/>
            <w:vAlign w:val="center"/>
          </w:tcPr>
          <w:p>
            <w:pPr>
              <w:pStyle w:val="14"/>
              <w:bidi w:val="0"/>
              <w:rPr>
                <w:rFonts w:hint="eastAsia"/>
                <w:lang w:val="en-US" w:eastAsia="zh-CN"/>
              </w:rPr>
            </w:pPr>
            <w:r>
              <w:rPr>
                <w:rFonts w:hint="eastAsia"/>
                <w:lang w:val="en-US" w:eastAsia="zh-CN"/>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rPr>
                <w:rFonts w:hint="eastAsia"/>
                <w:lang w:val="en-US" w:eastAsia="zh-CN"/>
              </w:rPr>
            </w:pPr>
            <w:r>
              <w:rPr>
                <w:rFonts w:hint="eastAsia"/>
                <w:lang w:val="en-US" w:eastAsia="zh-CN"/>
              </w:rPr>
              <w:t>3）通过分析土壤条件计算入渗设施排空时间，人工土壤配比入渗性能满足排空时间要求</w:t>
            </w:r>
          </w:p>
        </w:tc>
        <w:tc>
          <w:tcPr>
            <w:tcW w:w="344" w:type="pct"/>
            <w:shd w:val="clear" w:color="auto" w:fill="auto"/>
            <w:vAlign w:val="center"/>
          </w:tcPr>
          <w:p>
            <w:pPr>
              <w:pStyle w:val="14"/>
              <w:bidi w:val="0"/>
              <w:rPr>
                <w:rFonts w:hint="eastAsia"/>
                <w:lang w:val="en-US" w:eastAsia="zh-CN"/>
              </w:rPr>
            </w:pPr>
            <w:r>
              <w:rPr>
                <w:rFonts w:hint="eastAsia"/>
                <w:lang w:val="en-US" w:eastAsia="zh-CN"/>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rPr>
                <w:rFonts w:hint="default" w:eastAsia="宋体"/>
                <w:lang w:val="en-US" w:eastAsia="zh-CN"/>
              </w:rPr>
            </w:pPr>
            <w:r>
              <w:rPr>
                <w:rFonts w:hint="eastAsia"/>
                <w:lang w:val="en-US" w:eastAsia="zh-CN"/>
              </w:rPr>
              <w:t>4）生物滞留</w:t>
            </w:r>
            <w:r>
              <w:rPr>
                <w:rFonts w:hint="eastAsia"/>
              </w:rPr>
              <w:t>设施边坡护坡设计合理，</w:t>
            </w:r>
            <w:r>
              <w:rPr>
                <w:rFonts w:hint="eastAsia"/>
                <w:lang w:val="en-US" w:eastAsia="zh-CN"/>
              </w:rPr>
              <w:t>设置防止</w:t>
            </w:r>
            <w:r>
              <w:rPr>
                <w:rFonts w:hint="eastAsia"/>
              </w:rPr>
              <w:t>流失问题</w:t>
            </w:r>
            <w:r>
              <w:rPr>
                <w:rFonts w:hint="eastAsia"/>
                <w:lang w:val="en-US" w:eastAsia="zh-CN"/>
              </w:rPr>
              <w:t>设施</w:t>
            </w:r>
          </w:p>
        </w:tc>
        <w:tc>
          <w:tcPr>
            <w:tcW w:w="344" w:type="pct"/>
            <w:shd w:val="clear" w:color="auto" w:fill="auto"/>
            <w:vAlign w:val="center"/>
          </w:tcPr>
          <w:p>
            <w:pPr>
              <w:pStyle w:val="14"/>
              <w:bidi w:val="0"/>
              <w:rPr>
                <w:rFonts w:hint="eastAsia"/>
                <w:lang w:val="en-US" w:eastAsia="zh-CN"/>
              </w:rPr>
            </w:pPr>
            <w:r>
              <w:rPr>
                <w:rFonts w:hint="eastAsia"/>
                <w:lang w:val="en-US" w:eastAsia="zh-CN"/>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rPr>
                <w:rFonts w:hint="default"/>
                <w:lang w:val="en-US" w:eastAsia="zh-CN"/>
              </w:rPr>
            </w:pPr>
            <w:r>
              <w:rPr>
                <w:rFonts w:hint="eastAsia"/>
                <w:lang w:val="en-US" w:eastAsia="zh-CN"/>
              </w:rPr>
              <w:t>5）雨水集蓄利用工艺完整，水质水位在线监测并有记录，出水口设置计量设施</w:t>
            </w:r>
          </w:p>
        </w:tc>
        <w:tc>
          <w:tcPr>
            <w:tcW w:w="344" w:type="pct"/>
            <w:shd w:val="clear" w:color="auto" w:fill="auto"/>
            <w:vAlign w:val="center"/>
          </w:tcPr>
          <w:p>
            <w:pPr>
              <w:pStyle w:val="14"/>
              <w:bidi w:val="0"/>
              <w:rPr>
                <w:rFonts w:hint="eastAsia"/>
                <w:lang w:val="en-US" w:eastAsia="zh-CN"/>
              </w:rPr>
            </w:pPr>
            <w:r>
              <w:rPr>
                <w:rFonts w:hint="eastAsia"/>
                <w:lang w:val="en-US" w:eastAsia="zh-CN"/>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rPr>
                <w:rFonts w:hint="eastAsia"/>
                <w:lang w:val="en-US" w:eastAsia="zh-CN"/>
              </w:rPr>
            </w:pPr>
            <w:r>
              <w:rPr>
                <w:rFonts w:hint="eastAsia"/>
                <w:lang w:val="en-US" w:eastAsia="zh-CN"/>
              </w:rPr>
              <w:t>6</w:t>
            </w:r>
            <w:r>
              <w:rPr>
                <w:rFonts w:hint="eastAsia"/>
              </w:rPr>
              <w:t>）明确海绵城市设施施工验收和运行维护管理的基本要求</w:t>
            </w:r>
          </w:p>
        </w:tc>
        <w:tc>
          <w:tcPr>
            <w:tcW w:w="344" w:type="pct"/>
            <w:shd w:val="clear" w:color="auto" w:fill="auto"/>
            <w:vAlign w:val="center"/>
          </w:tcPr>
          <w:p>
            <w:pPr>
              <w:pStyle w:val="14"/>
              <w:bidi w:val="0"/>
              <w:rPr>
                <w:rFonts w:hint="eastAsia"/>
                <w:lang w:val="en-US" w:eastAsia="zh-CN"/>
              </w:rPr>
            </w:pPr>
            <w:r>
              <w:rPr>
                <w:rFonts w:hint="eastAsia"/>
                <w:lang w:val="en-US" w:eastAsia="zh-CN"/>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pPr>
            <w:r>
              <w:rPr>
                <w:rFonts w:hint="eastAsia"/>
                <w:lang w:val="en-US" w:eastAsia="zh-CN"/>
              </w:rPr>
              <w:t>7</w:t>
            </w:r>
            <w:r>
              <w:rPr>
                <w:rFonts w:hint="eastAsia"/>
              </w:rPr>
              <w:t>）提供监测系统方案，明确监测设施布点及设备选型</w:t>
            </w:r>
          </w:p>
        </w:tc>
        <w:tc>
          <w:tcPr>
            <w:tcW w:w="344" w:type="pct"/>
            <w:shd w:val="clear" w:color="auto" w:fill="auto"/>
            <w:vAlign w:val="center"/>
          </w:tcPr>
          <w:p>
            <w:pPr>
              <w:pStyle w:val="14"/>
              <w:bidi w:val="0"/>
              <w:rPr>
                <w:rFonts w:hint="eastAsia"/>
                <w:lang w:eastAsia="zh-CN"/>
              </w:rPr>
            </w:pPr>
            <w:r>
              <w:rPr>
                <w:rFonts w:hint="eastAsia"/>
                <w:lang w:val="en-US" w:eastAsia="zh-CN"/>
              </w:rPr>
              <w:t>2</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restart"/>
            <w:shd w:val="clear" w:color="auto" w:fill="auto"/>
            <w:vAlign w:val="center"/>
          </w:tcPr>
          <w:p>
            <w:pPr>
              <w:pStyle w:val="14"/>
              <w:bidi w:val="0"/>
              <w:rPr>
                <w:rFonts w:hint="default" w:eastAsia="宋体"/>
                <w:lang w:val="en-US" w:eastAsia="zh-CN"/>
              </w:rPr>
            </w:pPr>
            <w:r>
              <w:rPr>
                <w:rFonts w:hint="eastAsia"/>
                <w:lang w:val="en-US" w:eastAsia="zh-CN"/>
              </w:rPr>
              <w:t>16</w:t>
            </w:r>
          </w:p>
        </w:tc>
        <w:tc>
          <w:tcPr>
            <w:tcW w:w="637" w:type="pct"/>
            <w:vMerge w:val="restart"/>
            <w:shd w:val="clear" w:color="auto" w:fill="auto"/>
            <w:vAlign w:val="center"/>
          </w:tcPr>
          <w:p>
            <w:pPr>
              <w:pStyle w:val="14"/>
              <w:bidi w:val="0"/>
            </w:pPr>
            <w:r>
              <w:rPr>
                <w:rFonts w:hint="eastAsia"/>
              </w:rPr>
              <w:t>设计深度指导性强</w:t>
            </w:r>
          </w:p>
        </w:tc>
        <w:tc>
          <w:tcPr>
            <w:tcW w:w="3349" w:type="pct"/>
            <w:shd w:val="clear" w:color="auto" w:fill="auto"/>
            <w:vAlign w:val="center"/>
          </w:tcPr>
          <w:p>
            <w:pPr>
              <w:pStyle w:val="14"/>
              <w:bidi w:val="0"/>
            </w:pPr>
            <w:r>
              <w:rPr>
                <w:rFonts w:hint="eastAsia"/>
              </w:rPr>
              <w:t>1）海绵设施平面布局图，图例齐全清晰</w:t>
            </w:r>
            <w:r>
              <w:rPr>
                <w:rFonts w:hint="eastAsia"/>
                <w:lang w:eastAsia="zh-CN"/>
              </w:rPr>
              <w:t>；</w:t>
            </w:r>
            <w:r>
              <w:rPr>
                <w:rFonts w:hint="eastAsia"/>
              </w:rPr>
              <w:t>透水铺装平面设计美观，不同场地和不同功能透水铺装分别设计不同结构</w:t>
            </w:r>
          </w:p>
        </w:tc>
        <w:tc>
          <w:tcPr>
            <w:tcW w:w="344" w:type="pct"/>
            <w:shd w:val="clear" w:color="auto" w:fill="auto"/>
            <w:vAlign w:val="center"/>
          </w:tcPr>
          <w:p>
            <w:pPr>
              <w:pStyle w:val="14"/>
              <w:bidi w:val="0"/>
            </w:pPr>
            <w:r>
              <w:rPr>
                <w:rFonts w:hint="eastAsia"/>
              </w:rPr>
              <w:t>1</w:t>
            </w:r>
          </w:p>
        </w:tc>
        <w:tc>
          <w:tcPr>
            <w:tcW w:w="344" w:type="pct"/>
            <w:vMerge w:val="restart"/>
            <w:shd w:val="clear" w:color="auto" w:fill="auto"/>
            <w:vAlign w:val="center"/>
          </w:tcPr>
          <w:p>
            <w:pPr>
              <w:pStyle w:val="14"/>
              <w:bidi w:val="0"/>
              <w:rPr>
                <w:rFonts w:hint="eastAsia"/>
                <w:lang w:eastAsia="zh-CN"/>
              </w:rPr>
            </w:pP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pPr>
            <w:r>
              <w:rPr>
                <w:rFonts w:hint="eastAsia"/>
              </w:rPr>
              <w:t>2）生物滞留设施合理布置消能、防冲刷功能，合理确定植物选择和种类搭配；不同类型生物滞留设施做法明确</w:t>
            </w:r>
          </w:p>
        </w:tc>
        <w:tc>
          <w:tcPr>
            <w:tcW w:w="344" w:type="pct"/>
            <w:shd w:val="clear" w:color="auto" w:fill="auto"/>
            <w:vAlign w:val="center"/>
          </w:tcPr>
          <w:p>
            <w:pPr>
              <w:pStyle w:val="14"/>
              <w:bidi w:val="0"/>
            </w:pPr>
            <w:r>
              <w:rPr>
                <w:rFonts w:hint="eastAsia"/>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pPr>
            <w:r>
              <w:rPr>
                <w:rFonts w:hint="eastAsia"/>
              </w:rPr>
              <w:t>3）雨水利用设施明确蓄水池位置、进出水管布设、动力设施电源、主要节点高程及利用系统，做法详图明确雨水收集、净化及</w:t>
            </w:r>
            <w:r>
              <w:rPr>
                <w:rFonts w:hint="eastAsia"/>
                <w:lang w:eastAsia="zh-CN"/>
              </w:rPr>
              <w:t>利</w:t>
            </w:r>
            <w:r>
              <w:rPr>
                <w:rFonts w:hint="eastAsia"/>
              </w:rPr>
              <w:t>用流程</w:t>
            </w:r>
          </w:p>
        </w:tc>
        <w:tc>
          <w:tcPr>
            <w:tcW w:w="344" w:type="pct"/>
            <w:shd w:val="clear" w:color="auto" w:fill="auto"/>
            <w:vAlign w:val="center"/>
          </w:tcPr>
          <w:p>
            <w:pPr>
              <w:pStyle w:val="14"/>
              <w:bidi w:val="0"/>
            </w:pPr>
            <w:r>
              <w:rPr>
                <w:rFonts w:hint="eastAsia"/>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pPr>
            <w:r>
              <w:rPr>
                <w:rFonts w:hint="eastAsia"/>
              </w:rPr>
              <w:t>4）植草沟、调节塘、旱溪等其他设施附平面布置图、设施定位图和各节点大样图</w:t>
            </w:r>
          </w:p>
        </w:tc>
        <w:tc>
          <w:tcPr>
            <w:tcW w:w="344" w:type="pct"/>
            <w:shd w:val="clear" w:color="auto" w:fill="auto"/>
            <w:vAlign w:val="center"/>
          </w:tcPr>
          <w:p>
            <w:pPr>
              <w:pStyle w:val="14"/>
              <w:bidi w:val="0"/>
            </w:pPr>
            <w:r>
              <w:rPr>
                <w:rFonts w:hint="eastAsia"/>
              </w:rPr>
              <w:t>1</w:t>
            </w:r>
          </w:p>
        </w:tc>
        <w:tc>
          <w:tcPr>
            <w:tcW w:w="344"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25" w:type="pct"/>
            <w:vMerge w:val="continue"/>
            <w:shd w:val="clear" w:color="auto" w:fill="auto"/>
            <w:vAlign w:val="center"/>
          </w:tcPr>
          <w:p>
            <w:pPr>
              <w:pStyle w:val="14"/>
              <w:bidi w:val="0"/>
            </w:pPr>
          </w:p>
        </w:tc>
        <w:tc>
          <w:tcPr>
            <w:tcW w:w="637" w:type="pct"/>
            <w:vMerge w:val="continue"/>
            <w:shd w:val="clear" w:color="auto" w:fill="auto"/>
            <w:vAlign w:val="center"/>
          </w:tcPr>
          <w:p>
            <w:pPr>
              <w:pStyle w:val="14"/>
              <w:bidi w:val="0"/>
            </w:pPr>
          </w:p>
        </w:tc>
        <w:tc>
          <w:tcPr>
            <w:tcW w:w="3349" w:type="pct"/>
            <w:shd w:val="clear" w:color="auto" w:fill="auto"/>
            <w:vAlign w:val="center"/>
          </w:tcPr>
          <w:p>
            <w:pPr>
              <w:pStyle w:val="14"/>
              <w:bidi w:val="0"/>
              <w:rPr>
                <w:rFonts w:hint="eastAsia"/>
              </w:rPr>
            </w:pPr>
            <w:r>
              <w:rPr>
                <w:rFonts w:hint="eastAsia"/>
                <w:lang w:val="en-US" w:eastAsia="zh-CN"/>
              </w:rPr>
              <w:t>5）设计文件中增加关于径流总量控制、径流污染削减及径流峰值控制等模型报告。</w:t>
            </w:r>
          </w:p>
        </w:tc>
        <w:tc>
          <w:tcPr>
            <w:tcW w:w="344" w:type="pct"/>
            <w:shd w:val="clear" w:color="auto" w:fill="auto"/>
            <w:vAlign w:val="center"/>
          </w:tcPr>
          <w:p>
            <w:pPr>
              <w:pStyle w:val="14"/>
              <w:bidi w:val="0"/>
              <w:rPr>
                <w:rFonts w:hint="eastAsia"/>
                <w:lang w:val="en-US" w:eastAsia="zh-CN"/>
              </w:rPr>
            </w:pPr>
            <w:r>
              <w:rPr>
                <w:rFonts w:hint="eastAsia"/>
                <w:lang w:val="en-US" w:eastAsia="zh-CN"/>
              </w:rPr>
              <w:t>3</w:t>
            </w:r>
          </w:p>
        </w:tc>
        <w:tc>
          <w:tcPr>
            <w:tcW w:w="344" w:type="pct"/>
            <w:vMerge w:val="continue"/>
            <w:shd w:val="clear" w:color="auto" w:fill="auto"/>
            <w:vAlign w:val="center"/>
          </w:tcPr>
          <w:p>
            <w:pPr>
              <w:pStyle w:val="14"/>
              <w:bidi w:val="0"/>
            </w:pPr>
          </w:p>
        </w:tc>
      </w:tr>
    </w:tbl>
    <w:p>
      <w:pPr>
        <w:bidi w:val="0"/>
      </w:pPr>
      <w:r>
        <w:br w:type="page"/>
      </w:r>
    </w:p>
    <w:p>
      <w:pPr>
        <w:pStyle w:val="13"/>
      </w:pPr>
      <w:bookmarkStart w:id="26" w:name="bookmark41"/>
      <w:bookmarkStart w:id="27" w:name="bookmark42"/>
      <w:bookmarkStart w:id="28" w:name="bookmark40"/>
      <w:r>
        <w:t>表</w:t>
      </w:r>
      <w:r>
        <w:rPr>
          <w:rFonts w:hint="eastAsia"/>
          <w:lang w:val="en-US" w:eastAsia="zh-CN"/>
        </w:rPr>
        <w:t>5</w:t>
      </w:r>
      <w:r>
        <w:t>.2.1-3</w:t>
      </w:r>
      <w:r>
        <w:rPr>
          <w:rFonts w:hint="eastAsia"/>
          <w:lang w:val="en-US" w:eastAsia="zh-CN"/>
        </w:rPr>
        <w:t>公园</w:t>
      </w:r>
      <w:r>
        <w:t>绿地</w:t>
      </w:r>
      <w:r>
        <w:rPr>
          <w:rFonts w:hint="eastAsia"/>
        </w:rPr>
        <w:t>项目</w:t>
      </w:r>
      <w:r>
        <w:t>专项设计评分项</w:t>
      </w:r>
      <w:bookmarkEnd w:id="26"/>
      <w:bookmarkEnd w:id="27"/>
      <w:bookmarkEnd w:id="28"/>
    </w:p>
    <w:p>
      <w:pPr>
        <w:pStyle w:val="13"/>
      </w:pPr>
      <w:r>
        <w:rPr>
          <w:rFonts w:hint="eastAsia"/>
        </w:rPr>
        <w:t>Ⅰ建设目标达标性（</w:t>
      </w:r>
      <w:r>
        <w:rPr>
          <w:rFonts w:hint="eastAsia"/>
          <w:lang w:val="en-US" w:eastAsia="zh-CN"/>
        </w:rPr>
        <w:t>25</w:t>
      </w:r>
      <w:r>
        <w:rPr>
          <w:rFonts w:hint="eastAsia"/>
        </w:rPr>
        <w:t>分）</w:t>
      </w:r>
    </w:p>
    <w:tbl>
      <w:tblPr>
        <w:tblStyle w:val="6"/>
        <w:tblW w:w="49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56"/>
        <w:gridCol w:w="1128"/>
        <w:gridCol w:w="5404"/>
        <w:gridCol w:w="566"/>
        <w:gridCol w:w="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38" w:type="pct"/>
            <w:vMerge w:val="restart"/>
            <w:shd w:val="clear" w:color="auto" w:fill="auto"/>
            <w:vAlign w:val="center"/>
          </w:tcPr>
          <w:p>
            <w:pPr>
              <w:pStyle w:val="14"/>
              <w:bidi w:val="0"/>
            </w:pPr>
            <w:r>
              <w:t>序号</w:t>
            </w:r>
          </w:p>
        </w:tc>
        <w:tc>
          <w:tcPr>
            <w:tcW w:w="3973" w:type="pct"/>
            <w:gridSpan w:val="2"/>
            <w:vMerge w:val="restart"/>
            <w:shd w:val="clear" w:color="auto" w:fill="auto"/>
            <w:vAlign w:val="center"/>
          </w:tcPr>
          <w:p>
            <w:pPr>
              <w:pStyle w:val="14"/>
              <w:bidi w:val="0"/>
            </w:pPr>
            <w:r>
              <w:t>评价标准</w:t>
            </w:r>
          </w:p>
        </w:tc>
        <w:tc>
          <w:tcPr>
            <w:tcW w:w="687" w:type="pct"/>
            <w:gridSpan w:val="2"/>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3" w:hRule="exact"/>
          <w:tblHeader/>
          <w:jc w:val="center"/>
        </w:trPr>
        <w:tc>
          <w:tcPr>
            <w:tcW w:w="338" w:type="pct"/>
            <w:vMerge w:val="continue"/>
            <w:shd w:val="clear" w:color="auto" w:fill="auto"/>
            <w:vAlign w:val="center"/>
          </w:tcPr>
          <w:p>
            <w:pPr>
              <w:pStyle w:val="14"/>
              <w:bidi w:val="0"/>
            </w:pPr>
          </w:p>
        </w:tc>
        <w:tc>
          <w:tcPr>
            <w:tcW w:w="3973" w:type="pct"/>
            <w:gridSpan w:val="2"/>
            <w:vMerge w:val="continue"/>
            <w:shd w:val="clear" w:color="auto" w:fill="auto"/>
            <w:vAlign w:val="center"/>
          </w:tcPr>
          <w:p>
            <w:pPr>
              <w:pStyle w:val="14"/>
              <w:bidi w:val="0"/>
            </w:pPr>
          </w:p>
        </w:tc>
        <w:tc>
          <w:tcPr>
            <w:tcW w:w="344" w:type="pct"/>
            <w:shd w:val="clear" w:color="auto" w:fill="auto"/>
            <w:vAlign w:val="center"/>
          </w:tcPr>
          <w:p>
            <w:pPr>
              <w:pStyle w:val="14"/>
              <w:bidi w:val="0"/>
            </w:pPr>
            <w:r>
              <w:t>评分</w:t>
            </w:r>
          </w:p>
        </w:tc>
        <w:tc>
          <w:tcPr>
            <w:tcW w:w="343" w:type="pct"/>
            <w:shd w:val="clear" w:color="auto" w:fill="auto"/>
            <w:vAlign w:val="center"/>
          </w:tcPr>
          <w:p>
            <w:pPr>
              <w:pStyle w:val="14"/>
              <w:bidi w:val="0"/>
            </w:pPr>
            <w:r>
              <w:rPr>
                <w:rFonts w:hint="eastAsia"/>
                <w:lang w:val="en-US" w:eastAsia="zh-CN"/>
              </w:rPr>
              <w:t>最高得分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shd w:val="clear" w:color="auto" w:fill="auto"/>
            <w:vAlign w:val="center"/>
          </w:tcPr>
          <w:p>
            <w:pPr>
              <w:pStyle w:val="14"/>
              <w:bidi w:val="0"/>
            </w:pPr>
            <w:r>
              <w:t>1</w:t>
            </w:r>
          </w:p>
        </w:tc>
        <w:tc>
          <w:tcPr>
            <w:tcW w:w="686" w:type="pct"/>
            <w:shd w:val="clear" w:color="auto" w:fill="auto"/>
            <w:vAlign w:val="center"/>
          </w:tcPr>
          <w:p>
            <w:pPr>
              <w:pStyle w:val="14"/>
              <w:bidi w:val="0"/>
            </w:pPr>
            <w:r>
              <w:rPr>
                <w:rFonts w:hint="eastAsia"/>
              </w:rPr>
              <w:t>年径流总量控制率达标</w:t>
            </w:r>
          </w:p>
        </w:tc>
        <w:tc>
          <w:tcPr>
            <w:tcW w:w="3287" w:type="pct"/>
            <w:shd w:val="clear" w:color="auto" w:fill="auto"/>
            <w:vAlign w:val="center"/>
          </w:tcPr>
          <w:p>
            <w:pPr>
              <w:pStyle w:val="14"/>
              <w:bidi w:val="0"/>
              <w:rPr>
                <w:rFonts w:hint="eastAsia"/>
              </w:rPr>
            </w:pPr>
            <w:r>
              <w:rPr>
                <w:rFonts w:hint="eastAsia"/>
                <w:lang w:val="en-US" w:eastAsia="zh-CN"/>
              </w:rPr>
              <w:t>不低于海绵城市专项规划、海绵城市详细规划及海绵城市主管部门出台的控制指标文件的目标值</w:t>
            </w:r>
          </w:p>
        </w:tc>
        <w:tc>
          <w:tcPr>
            <w:tcW w:w="344" w:type="pct"/>
            <w:shd w:val="clear" w:color="auto" w:fill="auto"/>
            <w:vAlign w:val="center"/>
          </w:tcPr>
          <w:p>
            <w:pPr>
              <w:pStyle w:val="14"/>
              <w:bidi w:val="0"/>
              <w:rPr>
                <w:rFonts w:hint="eastAsia"/>
                <w:lang w:val="en-US" w:eastAsia="zh-CN"/>
              </w:rPr>
            </w:pPr>
            <w:r>
              <w:rPr>
                <w:rFonts w:hint="eastAsia"/>
                <w:lang w:val="en-US" w:eastAsia="zh-CN"/>
              </w:rPr>
              <w:t>5</w:t>
            </w:r>
          </w:p>
        </w:tc>
        <w:tc>
          <w:tcPr>
            <w:tcW w:w="343" w:type="pct"/>
            <w:shd w:val="clear" w:color="auto" w:fill="auto"/>
            <w:vAlign w:val="center"/>
          </w:tcPr>
          <w:p>
            <w:pPr>
              <w:pStyle w:val="14"/>
              <w:bidi w:val="0"/>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vMerge w:val="restart"/>
            <w:shd w:val="clear" w:color="auto" w:fill="auto"/>
            <w:vAlign w:val="center"/>
          </w:tcPr>
          <w:p>
            <w:pPr>
              <w:pStyle w:val="14"/>
              <w:bidi w:val="0"/>
              <w:rPr>
                <w:rFonts w:hint="eastAsia"/>
                <w:lang w:eastAsia="zh-CN"/>
              </w:rPr>
            </w:pPr>
            <w:r>
              <w:rPr>
                <w:rFonts w:hint="eastAsia"/>
                <w:lang w:val="en-US" w:eastAsia="zh-CN"/>
              </w:rPr>
              <w:t>2</w:t>
            </w:r>
          </w:p>
        </w:tc>
        <w:tc>
          <w:tcPr>
            <w:tcW w:w="686" w:type="pct"/>
            <w:vMerge w:val="restart"/>
            <w:shd w:val="clear" w:color="auto" w:fill="auto"/>
            <w:vAlign w:val="center"/>
          </w:tcPr>
          <w:p>
            <w:pPr>
              <w:pStyle w:val="14"/>
              <w:bidi w:val="0"/>
            </w:pPr>
            <w:r>
              <w:t>年径流污染物总量（以悬浮物SS计）削减率提高</w:t>
            </w:r>
          </w:p>
        </w:tc>
        <w:tc>
          <w:tcPr>
            <w:tcW w:w="3287" w:type="pct"/>
            <w:shd w:val="clear" w:color="auto" w:fill="auto"/>
            <w:vAlign w:val="center"/>
          </w:tcPr>
          <w:p>
            <w:pPr>
              <w:pStyle w:val="14"/>
              <w:bidi w:val="0"/>
            </w:pPr>
            <w:r>
              <w:t>年径流污染物总量（以悬浮物SS计）削减率</w:t>
            </w:r>
            <w:r>
              <w:rPr>
                <w:rFonts w:hint="eastAsia"/>
                <w:lang w:val="en-US" w:eastAsia="zh-CN"/>
              </w:rPr>
              <w:t>≥40%</w:t>
            </w:r>
          </w:p>
        </w:tc>
        <w:tc>
          <w:tcPr>
            <w:tcW w:w="344" w:type="pct"/>
            <w:shd w:val="clear" w:color="auto" w:fill="auto"/>
            <w:vAlign w:val="center"/>
          </w:tcPr>
          <w:p>
            <w:pPr>
              <w:pStyle w:val="14"/>
              <w:bidi w:val="0"/>
              <w:rPr>
                <w:rFonts w:hint="default"/>
                <w:lang w:val="en-US" w:eastAsia="zh-CN"/>
              </w:rPr>
            </w:pPr>
            <w:r>
              <w:rPr>
                <w:rFonts w:hint="eastAsia"/>
                <w:lang w:val="en-US" w:eastAsia="zh-CN"/>
              </w:rPr>
              <w:t>1</w:t>
            </w:r>
          </w:p>
        </w:tc>
        <w:tc>
          <w:tcPr>
            <w:tcW w:w="343" w:type="pct"/>
            <w:vMerge w:val="restart"/>
            <w:shd w:val="clear" w:color="auto" w:fill="auto"/>
            <w:vAlign w:val="center"/>
          </w:tcPr>
          <w:p>
            <w:pPr>
              <w:pStyle w:val="14"/>
              <w:bidi w:val="0"/>
              <w:rPr>
                <w:rFonts w:hint="eastAsia"/>
                <w:lang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vMerge w:val="continue"/>
            <w:shd w:val="clear" w:color="auto" w:fill="auto"/>
            <w:vAlign w:val="center"/>
          </w:tcPr>
          <w:p>
            <w:pPr>
              <w:pStyle w:val="14"/>
              <w:bidi w:val="0"/>
              <w:rPr>
                <w:rFonts w:hint="eastAsia"/>
                <w:lang w:val="en-US" w:eastAsia="zh-CN"/>
              </w:rPr>
            </w:pPr>
          </w:p>
        </w:tc>
        <w:tc>
          <w:tcPr>
            <w:tcW w:w="686" w:type="pct"/>
            <w:vMerge w:val="continue"/>
            <w:shd w:val="clear" w:color="auto" w:fill="auto"/>
            <w:vAlign w:val="center"/>
          </w:tcPr>
          <w:p>
            <w:pPr>
              <w:pStyle w:val="14"/>
              <w:bidi w:val="0"/>
            </w:pPr>
          </w:p>
        </w:tc>
        <w:tc>
          <w:tcPr>
            <w:tcW w:w="3287" w:type="pct"/>
            <w:shd w:val="clear" w:color="auto" w:fill="auto"/>
            <w:vAlign w:val="center"/>
          </w:tcPr>
          <w:p>
            <w:pPr>
              <w:pStyle w:val="14"/>
              <w:bidi w:val="0"/>
            </w:pPr>
            <w:r>
              <w:rPr>
                <w:rFonts w:hint="eastAsia"/>
              </w:rPr>
              <w:t>不低</w:t>
            </w:r>
            <w:r>
              <w:t>于海绵城市专项规划或现行国家标准《海绵城市建设评价标准》GB/T 51345规定目标值</w:t>
            </w:r>
          </w:p>
        </w:tc>
        <w:tc>
          <w:tcPr>
            <w:tcW w:w="344" w:type="pct"/>
            <w:shd w:val="clear" w:color="auto" w:fill="auto"/>
            <w:vAlign w:val="center"/>
          </w:tcPr>
          <w:p>
            <w:pPr>
              <w:pStyle w:val="14"/>
              <w:bidi w:val="0"/>
              <w:rPr>
                <w:rFonts w:hint="eastAsia"/>
                <w:lang w:val="en-US" w:eastAsia="zh-CN"/>
              </w:rPr>
            </w:pPr>
            <w:r>
              <w:rPr>
                <w:rFonts w:hint="eastAsia"/>
                <w:lang w:val="en-US" w:eastAsia="zh-CN"/>
              </w:rPr>
              <w:t>2</w:t>
            </w:r>
          </w:p>
        </w:tc>
        <w:tc>
          <w:tcPr>
            <w:tcW w:w="343" w:type="pct"/>
            <w:vMerge w:val="continue"/>
            <w:shd w:val="clear" w:color="auto" w:fill="auto"/>
            <w:vAlign w:val="center"/>
          </w:tcPr>
          <w:p>
            <w:pPr>
              <w:pStyle w:val="14"/>
              <w:bidi w:val="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vMerge w:val="continue"/>
            <w:shd w:val="clear" w:color="auto" w:fill="auto"/>
            <w:vAlign w:val="center"/>
          </w:tcPr>
          <w:p>
            <w:pPr>
              <w:pStyle w:val="14"/>
              <w:bidi w:val="0"/>
            </w:pPr>
          </w:p>
        </w:tc>
        <w:tc>
          <w:tcPr>
            <w:tcW w:w="686" w:type="pct"/>
            <w:vMerge w:val="continue"/>
            <w:shd w:val="clear" w:color="auto" w:fill="auto"/>
            <w:vAlign w:val="center"/>
          </w:tcPr>
          <w:p>
            <w:pPr>
              <w:pStyle w:val="14"/>
              <w:bidi w:val="0"/>
            </w:pPr>
          </w:p>
        </w:tc>
        <w:tc>
          <w:tcPr>
            <w:tcW w:w="3287" w:type="pct"/>
            <w:shd w:val="clear" w:color="auto" w:fill="auto"/>
            <w:vAlign w:val="center"/>
          </w:tcPr>
          <w:p>
            <w:pPr>
              <w:pStyle w:val="14"/>
              <w:bidi w:val="0"/>
            </w:pPr>
            <w:r>
              <w:t>高于海绵城市专项规划或现行国家标准《海绵城市建设评价标准》GB/T 51345规定目标值3%</w:t>
            </w:r>
          </w:p>
        </w:tc>
        <w:tc>
          <w:tcPr>
            <w:tcW w:w="344" w:type="pct"/>
            <w:shd w:val="clear" w:color="auto" w:fill="auto"/>
            <w:vAlign w:val="center"/>
          </w:tcPr>
          <w:p>
            <w:pPr>
              <w:pStyle w:val="14"/>
              <w:bidi w:val="0"/>
              <w:rPr>
                <w:rFonts w:hint="eastAsia"/>
                <w:lang w:eastAsia="zh-CN"/>
              </w:rPr>
            </w:pPr>
            <w:r>
              <w:rPr>
                <w:rFonts w:hint="eastAsia"/>
                <w:lang w:val="en-US" w:eastAsia="zh-CN"/>
              </w:rPr>
              <w:t>3</w:t>
            </w:r>
          </w:p>
        </w:tc>
        <w:tc>
          <w:tcPr>
            <w:tcW w:w="343"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vMerge w:val="continue"/>
            <w:shd w:val="clear" w:color="auto" w:fill="auto"/>
            <w:vAlign w:val="center"/>
          </w:tcPr>
          <w:p>
            <w:pPr>
              <w:pStyle w:val="14"/>
              <w:bidi w:val="0"/>
            </w:pPr>
          </w:p>
        </w:tc>
        <w:tc>
          <w:tcPr>
            <w:tcW w:w="686" w:type="pct"/>
            <w:vMerge w:val="continue"/>
            <w:shd w:val="clear" w:color="auto" w:fill="auto"/>
            <w:vAlign w:val="center"/>
          </w:tcPr>
          <w:p>
            <w:pPr>
              <w:pStyle w:val="14"/>
              <w:bidi w:val="0"/>
            </w:pPr>
          </w:p>
        </w:tc>
        <w:tc>
          <w:tcPr>
            <w:tcW w:w="3287" w:type="pct"/>
            <w:shd w:val="clear" w:color="auto" w:fill="auto"/>
            <w:vAlign w:val="center"/>
          </w:tcPr>
          <w:p>
            <w:pPr>
              <w:pStyle w:val="14"/>
              <w:bidi w:val="0"/>
            </w:pPr>
            <w:r>
              <w:t>高于海绵城市专项规划或现行国家标准《海绵城市建设评价标准》GB/T 51345规定目标值5%</w:t>
            </w:r>
          </w:p>
        </w:tc>
        <w:tc>
          <w:tcPr>
            <w:tcW w:w="344" w:type="pct"/>
            <w:shd w:val="clear" w:color="auto" w:fill="auto"/>
            <w:vAlign w:val="center"/>
          </w:tcPr>
          <w:p>
            <w:pPr>
              <w:pStyle w:val="14"/>
              <w:bidi w:val="0"/>
              <w:rPr>
                <w:rFonts w:hint="eastAsia"/>
                <w:lang w:eastAsia="zh-CN"/>
              </w:rPr>
            </w:pPr>
            <w:r>
              <w:rPr>
                <w:rFonts w:hint="eastAsia"/>
                <w:lang w:val="en-US" w:eastAsia="zh-CN"/>
              </w:rPr>
              <w:t>5</w:t>
            </w:r>
          </w:p>
        </w:tc>
        <w:tc>
          <w:tcPr>
            <w:tcW w:w="343"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shd w:val="clear" w:color="auto" w:fill="auto"/>
            <w:vAlign w:val="center"/>
          </w:tcPr>
          <w:p>
            <w:pPr>
              <w:pStyle w:val="14"/>
              <w:bidi w:val="0"/>
              <w:rPr>
                <w:rFonts w:hint="eastAsia" w:eastAsia="宋体"/>
                <w:lang w:eastAsia="zh-CN"/>
              </w:rPr>
            </w:pPr>
            <w:r>
              <w:rPr>
                <w:rFonts w:hint="eastAsia"/>
                <w:lang w:val="en-US" w:eastAsia="zh-CN"/>
              </w:rPr>
              <w:t>3</w:t>
            </w:r>
          </w:p>
        </w:tc>
        <w:tc>
          <w:tcPr>
            <w:tcW w:w="686" w:type="pct"/>
            <w:shd w:val="clear" w:color="auto" w:fill="auto"/>
            <w:vAlign w:val="center"/>
          </w:tcPr>
          <w:p>
            <w:pPr>
              <w:pStyle w:val="14"/>
              <w:bidi w:val="0"/>
            </w:pPr>
            <w:r>
              <w:rPr>
                <w:rFonts w:hint="eastAsia"/>
              </w:rPr>
              <w:t>充分利用雨水资源</w:t>
            </w:r>
          </w:p>
        </w:tc>
        <w:tc>
          <w:tcPr>
            <w:tcW w:w="3287" w:type="pct"/>
            <w:shd w:val="clear" w:color="auto" w:fill="auto"/>
            <w:vAlign w:val="center"/>
          </w:tcPr>
          <w:p>
            <w:pPr>
              <w:pStyle w:val="14"/>
              <w:bidi w:val="0"/>
            </w:pPr>
            <w:r>
              <w:rPr>
                <w:rFonts w:hint="eastAsia"/>
              </w:rPr>
              <w:t>不</w:t>
            </w:r>
            <w:r>
              <w:rPr>
                <w:rFonts w:hint="eastAsia"/>
                <w:lang w:eastAsia="zh-CN"/>
              </w:rPr>
              <w:t>低于</w:t>
            </w:r>
            <w:r>
              <w:rPr>
                <w:rFonts w:hint="eastAsia"/>
              </w:rPr>
              <w:t>海绵城市专项规划和海绵城市详细规划的目标值</w:t>
            </w:r>
          </w:p>
        </w:tc>
        <w:tc>
          <w:tcPr>
            <w:tcW w:w="344" w:type="pct"/>
            <w:shd w:val="clear" w:color="auto" w:fill="auto"/>
            <w:vAlign w:val="center"/>
          </w:tcPr>
          <w:p>
            <w:pPr>
              <w:pStyle w:val="14"/>
              <w:bidi w:val="0"/>
            </w:pPr>
            <w:r>
              <w:rPr>
                <w:rFonts w:hint="eastAsia"/>
              </w:rPr>
              <w:t>2</w:t>
            </w:r>
          </w:p>
        </w:tc>
        <w:tc>
          <w:tcPr>
            <w:tcW w:w="343" w:type="pct"/>
            <w:shd w:val="clear" w:color="auto" w:fill="auto"/>
            <w:vAlign w:val="center"/>
          </w:tcPr>
          <w:p>
            <w:pPr>
              <w:pStyle w:val="14"/>
              <w:bidi w:val="0"/>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vMerge w:val="restart"/>
            <w:shd w:val="clear" w:color="auto" w:fill="auto"/>
            <w:vAlign w:val="center"/>
          </w:tcPr>
          <w:p>
            <w:pPr>
              <w:pStyle w:val="14"/>
              <w:bidi w:val="0"/>
              <w:rPr>
                <w:rFonts w:hint="eastAsia"/>
                <w:lang w:eastAsia="zh-CN"/>
              </w:rPr>
            </w:pPr>
            <w:r>
              <w:rPr>
                <w:rFonts w:hint="eastAsia"/>
                <w:lang w:val="en-US" w:eastAsia="zh-CN"/>
              </w:rPr>
              <w:t>4</w:t>
            </w:r>
          </w:p>
        </w:tc>
        <w:tc>
          <w:tcPr>
            <w:tcW w:w="686" w:type="pct"/>
            <w:vMerge w:val="restart"/>
            <w:shd w:val="clear" w:color="auto" w:fill="auto"/>
            <w:vAlign w:val="center"/>
          </w:tcPr>
          <w:p>
            <w:pPr>
              <w:pStyle w:val="14"/>
              <w:bidi w:val="0"/>
              <w:rPr>
                <w:rFonts w:hint="eastAsia"/>
                <w:lang w:eastAsia="zh-CN"/>
              </w:rPr>
            </w:pPr>
            <w:r>
              <w:rPr>
                <w:rFonts w:hint="eastAsia"/>
              </w:rPr>
              <w:t>接纳场地周边区域雨水径流</w:t>
            </w:r>
          </w:p>
        </w:tc>
        <w:tc>
          <w:tcPr>
            <w:tcW w:w="3287" w:type="pct"/>
            <w:shd w:val="clear" w:color="auto" w:fill="auto"/>
            <w:vAlign w:val="center"/>
          </w:tcPr>
          <w:p>
            <w:pPr>
              <w:pStyle w:val="14"/>
              <w:bidi w:val="0"/>
            </w:pPr>
            <w:r>
              <w:t>1</w:t>
            </w:r>
            <w:r>
              <w:rPr>
                <w:rFonts w:hint="eastAsia"/>
              </w:rPr>
              <w:t>）接纳周边区域雨水径流体积超过场地自身所需控制雨水径流体积的比例不低于</w:t>
            </w:r>
            <w:r>
              <w:t>30%</w:t>
            </w:r>
          </w:p>
        </w:tc>
        <w:tc>
          <w:tcPr>
            <w:tcW w:w="344" w:type="pct"/>
            <w:shd w:val="clear" w:color="auto" w:fill="auto"/>
            <w:vAlign w:val="center"/>
          </w:tcPr>
          <w:p>
            <w:pPr>
              <w:pStyle w:val="14"/>
              <w:bidi w:val="0"/>
            </w:pPr>
            <w:r>
              <w:rPr>
                <w:rFonts w:hint="eastAsia"/>
              </w:rPr>
              <w:t>2</w:t>
            </w:r>
          </w:p>
        </w:tc>
        <w:tc>
          <w:tcPr>
            <w:tcW w:w="343" w:type="pct"/>
            <w:vMerge w:val="restart"/>
            <w:shd w:val="clear" w:color="auto" w:fill="auto"/>
            <w:vAlign w:val="center"/>
          </w:tcPr>
          <w:p>
            <w:pPr>
              <w:pStyle w:val="14"/>
              <w:bidi w:val="0"/>
              <w:rPr>
                <w:rFonts w:hint="eastAsia"/>
                <w:lang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vMerge w:val="continue"/>
            <w:shd w:val="clear" w:color="auto" w:fill="auto"/>
            <w:vAlign w:val="center"/>
          </w:tcPr>
          <w:p>
            <w:pPr>
              <w:pStyle w:val="14"/>
              <w:bidi w:val="0"/>
            </w:pPr>
          </w:p>
        </w:tc>
        <w:tc>
          <w:tcPr>
            <w:tcW w:w="686" w:type="pct"/>
            <w:vMerge w:val="continue"/>
            <w:shd w:val="clear" w:color="auto" w:fill="auto"/>
            <w:vAlign w:val="center"/>
          </w:tcPr>
          <w:p>
            <w:pPr>
              <w:pStyle w:val="14"/>
              <w:bidi w:val="0"/>
            </w:pPr>
          </w:p>
        </w:tc>
        <w:tc>
          <w:tcPr>
            <w:tcW w:w="3287" w:type="pct"/>
            <w:shd w:val="clear" w:color="auto" w:fill="auto"/>
            <w:vAlign w:val="center"/>
          </w:tcPr>
          <w:p>
            <w:pPr>
              <w:pStyle w:val="14"/>
              <w:bidi w:val="0"/>
            </w:pPr>
            <w:r>
              <w:t>2</w:t>
            </w:r>
            <w:r>
              <w:rPr>
                <w:rFonts w:hint="eastAsia"/>
              </w:rPr>
              <w:t>）接纳周边区域雨水径流体积超过场地自身所需控制雨水径流体积的比例不低于</w:t>
            </w:r>
            <w:r>
              <w:t>60%</w:t>
            </w:r>
          </w:p>
        </w:tc>
        <w:tc>
          <w:tcPr>
            <w:tcW w:w="344" w:type="pct"/>
            <w:shd w:val="clear" w:color="auto" w:fill="auto"/>
            <w:vAlign w:val="center"/>
          </w:tcPr>
          <w:p>
            <w:pPr>
              <w:pStyle w:val="14"/>
              <w:bidi w:val="0"/>
              <w:rPr>
                <w:rFonts w:hint="eastAsia"/>
                <w:lang w:eastAsia="zh-CN"/>
              </w:rPr>
            </w:pPr>
            <w:r>
              <w:rPr>
                <w:rFonts w:hint="eastAsia"/>
                <w:lang w:val="en-US" w:eastAsia="zh-CN"/>
              </w:rPr>
              <w:t>3</w:t>
            </w:r>
          </w:p>
        </w:tc>
        <w:tc>
          <w:tcPr>
            <w:tcW w:w="343"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vMerge w:val="continue"/>
            <w:shd w:val="clear" w:color="auto" w:fill="auto"/>
            <w:vAlign w:val="center"/>
          </w:tcPr>
          <w:p>
            <w:pPr>
              <w:pStyle w:val="14"/>
              <w:bidi w:val="0"/>
            </w:pPr>
          </w:p>
        </w:tc>
        <w:tc>
          <w:tcPr>
            <w:tcW w:w="686" w:type="pct"/>
            <w:vMerge w:val="continue"/>
            <w:shd w:val="clear" w:color="auto" w:fill="auto"/>
            <w:vAlign w:val="center"/>
          </w:tcPr>
          <w:p>
            <w:pPr>
              <w:pStyle w:val="14"/>
              <w:bidi w:val="0"/>
            </w:pPr>
          </w:p>
        </w:tc>
        <w:tc>
          <w:tcPr>
            <w:tcW w:w="3287" w:type="pct"/>
            <w:shd w:val="clear" w:color="auto" w:fill="auto"/>
            <w:vAlign w:val="center"/>
          </w:tcPr>
          <w:p>
            <w:pPr>
              <w:pStyle w:val="14"/>
              <w:bidi w:val="0"/>
              <w:rPr>
                <w:rFonts w:hint="default"/>
                <w:lang w:val="en-US" w:eastAsia="zh-CN"/>
              </w:rPr>
            </w:pPr>
            <w:r>
              <w:t>3</w:t>
            </w:r>
            <w:r>
              <w:rPr>
                <w:rFonts w:hint="eastAsia"/>
              </w:rPr>
              <w:t>）接纳周边区域雨水径流体积</w:t>
            </w:r>
            <w:r>
              <w:rPr>
                <w:rFonts w:hint="eastAsia"/>
                <w:lang w:val="en-US" w:eastAsia="zh-CN"/>
              </w:rPr>
              <w:t>通过综合措施组合，汇水范围内内涝防治标准达到设防要求。</w:t>
            </w:r>
          </w:p>
        </w:tc>
        <w:tc>
          <w:tcPr>
            <w:tcW w:w="344" w:type="pct"/>
            <w:shd w:val="clear" w:color="auto" w:fill="auto"/>
            <w:vAlign w:val="center"/>
          </w:tcPr>
          <w:p>
            <w:pPr>
              <w:pStyle w:val="14"/>
              <w:bidi w:val="0"/>
              <w:rPr>
                <w:rFonts w:hint="eastAsia"/>
                <w:lang w:eastAsia="zh-CN"/>
              </w:rPr>
            </w:pPr>
            <w:r>
              <w:rPr>
                <w:rFonts w:hint="eastAsia"/>
                <w:lang w:val="en-US" w:eastAsia="zh-CN"/>
              </w:rPr>
              <w:t>5</w:t>
            </w:r>
          </w:p>
        </w:tc>
        <w:tc>
          <w:tcPr>
            <w:tcW w:w="343"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shd w:val="clear" w:color="auto" w:fill="auto"/>
            <w:vAlign w:val="center"/>
          </w:tcPr>
          <w:p>
            <w:pPr>
              <w:pStyle w:val="14"/>
              <w:bidi w:val="0"/>
              <w:rPr>
                <w:rFonts w:hint="eastAsia"/>
                <w:lang w:eastAsia="zh-CN"/>
              </w:rPr>
            </w:pPr>
            <w:r>
              <w:rPr>
                <w:rFonts w:hint="eastAsia"/>
                <w:lang w:val="en-US" w:eastAsia="zh-CN"/>
              </w:rPr>
              <w:t>5</w:t>
            </w:r>
          </w:p>
        </w:tc>
        <w:tc>
          <w:tcPr>
            <w:tcW w:w="3973" w:type="pct"/>
            <w:gridSpan w:val="2"/>
            <w:shd w:val="clear" w:color="auto" w:fill="auto"/>
            <w:vAlign w:val="center"/>
          </w:tcPr>
          <w:p>
            <w:pPr>
              <w:pStyle w:val="14"/>
              <w:bidi w:val="0"/>
              <w:rPr>
                <w:rFonts w:hint="eastAsia"/>
              </w:rPr>
            </w:pPr>
            <w:r>
              <w:rPr>
                <w:rFonts w:hint="eastAsia"/>
                <w:lang w:val="en-US" w:eastAsia="zh-CN"/>
              </w:rPr>
              <w:t>公园绿地</w:t>
            </w:r>
            <w:r>
              <w:rPr>
                <w:rFonts w:hint="eastAsia"/>
              </w:rPr>
              <w:t>作为城市开放空间，有客水汇入时，有效</w:t>
            </w:r>
            <w:r>
              <w:rPr>
                <w:rFonts w:hint="eastAsia"/>
                <w:lang w:val="en-US" w:eastAsia="zh-CN"/>
              </w:rPr>
              <w:t>缓解</w:t>
            </w:r>
            <w:r>
              <w:rPr>
                <w:rFonts w:hint="eastAsia"/>
              </w:rPr>
              <w:t>周边地块的超标雨水，与区域雨水防涝系统良好衔接</w:t>
            </w:r>
          </w:p>
        </w:tc>
        <w:tc>
          <w:tcPr>
            <w:tcW w:w="344" w:type="pct"/>
            <w:shd w:val="clear" w:color="auto" w:fill="auto"/>
            <w:vAlign w:val="center"/>
          </w:tcPr>
          <w:p>
            <w:pPr>
              <w:pStyle w:val="14"/>
              <w:bidi w:val="0"/>
              <w:rPr>
                <w:rFonts w:hint="eastAsia"/>
                <w:lang w:eastAsia="zh-CN"/>
              </w:rPr>
            </w:pPr>
            <w:r>
              <w:rPr>
                <w:rFonts w:hint="eastAsia"/>
                <w:lang w:val="en-US" w:eastAsia="zh-CN"/>
              </w:rPr>
              <w:t>3</w:t>
            </w:r>
          </w:p>
        </w:tc>
        <w:tc>
          <w:tcPr>
            <w:tcW w:w="343" w:type="pct"/>
            <w:shd w:val="clear" w:color="auto" w:fill="auto"/>
            <w:vAlign w:val="center"/>
          </w:tcPr>
          <w:p>
            <w:pPr>
              <w:pStyle w:val="14"/>
              <w:bidi w:val="0"/>
              <w:rPr>
                <w:rFonts w:hint="eastAsia"/>
                <w:lang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shd w:val="clear" w:color="auto" w:fill="auto"/>
            <w:vAlign w:val="center"/>
          </w:tcPr>
          <w:p>
            <w:pPr>
              <w:pStyle w:val="14"/>
              <w:bidi w:val="0"/>
              <w:rPr>
                <w:rFonts w:hint="eastAsia"/>
                <w:lang w:eastAsia="zh-CN"/>
              </w:rPr>
            </w:pPr>
            <w:r>
              <w:rPr>
                <w:rFonts w:hint="eastAsia"/>
                <w:lang w:val="en-US" w:eastAsia="zh-CN"/>
              </w:rPr>
              <w:t>6</w:t>
            </w:r>
          </w:p>
        </w:tc>
        <w:tc>
          <w:tcPr>
            <w:tcW w:w="3973" w:type="pct"/>
            <w:gridSpan w:val="2"/>
            <w:shd w:val="clear" w:color="auto" w:fill="auto"/>
            <w:vAlign w:val="center"/>
          </w:tcPr>
          <w:p>
            <w:pPr>
              <w:pStyle w:val="14"/>
              <w:bidi w:val="0"/>
              <w:rPr>
                <w:rFonts w:hint="eastAsia"/>
              </w:rPr>
            </w:pPr>
            <w:r>
              <w:rPr>
                <w:rFonts w:hint="eastAsia"/>
              </w:rPr>
              <w:t>廊带状公园绿地、防护绿地具备作为城市超标雨水行泄通道的功能，与区域雨水防涝系统良好衔接</w:t>
            </w:r>
          </w:p>
        </w:tc>
        <w:tc>
          <w:tcPr>
            <w:tcW w:w="344" w:type="pct"/>
            <w:shd w:val="clear" w:color="auto" w:fill="auto"/>
            <w:vAlign w:val="center"/>
          </w:tcPr>
          <w:p>
            <w:pPr>
              <w:pStyle w:val="14"/>
              <w:bidi w:val="0"/>
              <w:rPr>
                <w:rFonts w:hint="eastAsia"/>
                <w:lang w:eastAsia="zh-CN"/>
              </w:rPr>
            </w:pPr>
            <w:r>
              <w:rPr>
                <w:rFonts w:hint="eastAsia"/>
                <w:lang w:val="en-US" w:eastAsia="zh-CN"/>
              </w:rPr>
              <w:t>3</w:t>
            </w:r>
          </w:p>
        </w:tc>
        <w:tc>
          <w:tcPr>
            <w:tcW w:w="343" w:type="pct"/>
            <w:shd w:val="clear" w:color="auto" w:fill="auto"/>
            <w:vAlign w:val="center"/>
          </w:tcPr>
          <w:p>
            <w:pPr>
              <w:pStyle w:val="14"/>
              <w:bidi w:val="0"/>
              <w:rPr>
                <w:rFonts w:hint="eastAsia"/>
                <w:lang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8" w:type="pct"/>
            <w:shd w:val="clear" w:color="auto" w:fill="auto"/>
            <w:vAlign w:val="center"/>
          </w:tcPr>
          <w:p>
            <w:pPr>
              <w:pStyle w:val="14"/>
              <w:bidi w:val="0"/>
              <w:rPr>
                <w:rFonts w:hint="eastAsia"/>
                <w:lang w:eastAsia="zh-CN"/>
              </w:rPr>
            </w:pPr>
            <w:r>
              <w:rPr>
                <w:rFonts w:hint="eastAsia"/>
                <w:lang w:val="en-US" w:eastAsia="zh-CN"/>
              </w:rPr>
              <w:t>7</w:t>
            </w:r>
          </w:p>
        </w:tc>
        <w:tc>
          <w:tcPr>
            <w:tcW w:w="3973" w:type="pct"/>
            <w:gridSpan w:val="2"/>
            <w:shd w:val="clear" w:color="auto" w:fill="auto"/>
            <w:vAlign w:val="center"/>
          </w:tcPr>
          <w:p>
            <w:pPr>
              <w:pStyle w:val="14"/>
              <w:bidi w:val="0"/>
            </w:pPr>
            <w:r>
              <w:rPr>
                <w:rFonts w:hint="eastAsia"/>
              </w:rPr>
              <w:t>新建的景观水体维持生态系统自我平衡，保持水体自我净化</w:t>
            </w:r>
          </w:p>
        </w:tc>
        <w:tc>
          <w:tcPr>
            <w:tcW w:w="344" w:type="pct"/>
            <w:shd w:val="clear" w:color="auto" w:fill="auto"/>
            <w:vAlign w:val="center"/>
          </w:tcPr>
          <w:p>
            <w:pPr>
              <w:pStyle w:val="14"/>
              <w:bidi w:val="0"/>
            </w:pPr>
            <w:r>
              <w:rPr>
                <w:rFonts w:hint="eastAsia"/>
              </w:rPr>
              <w:t>2</w:t>
            </w:r>
          </w:p>
        </w:tc>
        <w:tc>
          <w:tcPr>
            <w:tcW w:w="343" w:type="pct"/>
            <w:shd w:val="clear" w:color="auto" w:fill="auto"/>
            <w:vAlign w:val="center"/>
          </w:tcPr>
          <w:p>
            <w:pPr>
              <w:pStyle w:val="14"/>
              <w:bidi w:val="0"/>
            </w:pPr>
            <w:r>
              <w:rPr>
                <w:rFonts w:hint="eastAsia"/>
              </w:rPr>
              <w:t>2</w:t>
            </w:r>
          </w:p>
        </w:tc>
      </w:tr>
    </w:tbl>
    <w:p>
      <w:pPr>
        <w:rPr>
          <w:szCs w:val="32"/>
        </w:rPr>
      </w:pPr>
      <w:r>
        <w:rPr>
          <w:rFonts w:hint="eastAsia"/>
          <w:szCs w:val="32"/>
        </w:rPr>
        <w:br w:type="page"/>
      </w:r>
    </w:p>
    <w:p>
      <w:pPr>
        <w:pStyle w:val="13"/>
      </w:pPr>
      <w:r>
        <w:rPr>
          <w:rFonts w:hint="eastAsia"/>
        </w:rPr>
        <w:t>Ⅱ技术措施适宜性评价（</w:t>
      </w:r>
      <w:r>
        <w:rPr>
          <w:rFonts w:hint="eastAsia"/>
          <w:lang w:val="en-US" w:eastAsia="zh-CN"/>
        </w:rPr>
        <w:t>6</w:t>
      </w:r>
      <w:r>
        <w:rPr>
          <w:rFonts w:hint="eastAsia"/>
        </w:rPr>
        <w:t>0分）</w:t>
      </w:r>
    </w:p>
    <w:tbl>
      <w:tblPr>
        <w:tblStyle w:val="6"/>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8"/>
        <w:gridCol w:w="1130"/>
        <w:gridCol w:w="5420"/>
        <w:gridCol w:w="562"/>
        <w:gridCol w:w="562"/>
        <w:gridCol w:w="8"/>
        <w:gridCol w:w="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16" w:type="pct"/>
            <w:vMerge w:val="restart"/>
            <w:shd w:val="clear" w:color="auto" w:fill="auto"/>
            <w:vAlign w:val="center"/>
          </w:tcPr>
          <w:p>
            <w:pPr>
              <w:pStyle w:val="14"/>
              <w:bidi w:val="0"/>
            </w:pPr>
            <w:r>
              <w:t>序号</w:t>
            </w:r>
          </w:p>
        </w:tc>
        <w:tc>
          <w:tcPr>
            <w:tcW w:w="3989" w:type="pct"/>
            <w:gridSpan w:val="2"/>
            <w:vMerge w:val="restart"/>
            <w:shd w:val="clear" w:color="auto" w:fill="auto"/>
            <w:vAlign w:val="center"/>
          </w:tcPr>
          <w:p>
            <w:pPr>
              <w:pStyle w:val="14"/>
              <w:bidi w:val="0"/>
            </w:pPr>
            <w:r>
              <w:t>评价标准</w:t>
            </w:r>
          </w:p>
        </w:tc>
        <w:tc>
          <w:tcPr>
            <w:tcW w:w="694" w:type="pct"/>
            <w:gridSpan w:val="4"/>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16" w:type="pct"/>
            <w:vMerge w:val="continue"/>
            <w:shd w:val="clear" w:color="auto" w:fill="auto"/>
            <w:vAlign w:val="center"/>
          </w:tcPr>
          <w:p>
            <w:pPr>
              <w:pStyle w:val="14"/>
              <w:bidi w:val="0"/>
            </w:pPr>
          </w:p>
        </w:tc>
        <w:tc>
          <w:tcPr>
            <w:tcW w:w="3989" w:type="pct"/>
            <w:gridSpan w:val="2"/>
            <w:vMerge w:val="continue"/>
            <w:shd w:val="clear" w:color="auto" w:fill="auto"/>
            <w:vAlign w:val="center"/>
          </w:tcPr>
          <w:p>
            <w:pPr>
              <w:pStyle w:val="14"/>
              <w:bidi w:val="0"/>
            </w:pPr>
          </w:p>
        </w:tc>
        <w:tc>
          <w:tcPr>
            <w:tcW w:w="342" w:type="pct"/>
            <w:shd w:val="clear" w:color="auto" w:fill="auto"/>
            <w:vAlign w:val="center"/>
          </w:tcPr>
          <w:p>
            <w:pPr>
              <w:pStyle w:val="14"/>
              <w:bidi w:val="0"/>
            </w:pPr>
            <w:r>
              <w:t>评分</w:t>
            </w:r>
          </w:p>
        </w:tc>
        <w:tc>
          <w:tcPr>
            <w:tcW w:w="352" w:type="pct"/>
            <w:gridSpan w:val="3"/>
            <w:shd w:val="clear" w:color="auto" w:fill="auto"/>
            <w:vAlign w:val="center"/>
          </w:tcPr>
          <w:p>
            <w:pPr>
              <w:pStyle w:val="14"/>
              <w:bidi w:val="0"/>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restart"/>
            <w:shd w:val="clear" w:color="auto" w:fill="auto"/>
            <w:vAlign w:val="center"/>
          </w:tcPr>
          <w:p>
            <w:pPr>
              <w:pStyle w:val="14"/>
              <w:bidi w:val="0"/>
              <w:rPr>
                <w:rFonts w:hint="eastAsia" w:eastAsia="宋体"/>
                <w:lang w:eastAsia="zh-CN"/>
              </w:rPr>
            </w:pPr>
            <w:r>
              <w:rPr>
                <w:rFonts w:hint="eastAsia"/>
                <w:lang w:val="en-US" w:eastAsia="zh-CN"/>
              </w:rPr>
              <w:t>8</w:t>
            </w:r>
          </w:p>
        </w:tc>
        <w:tc>
          <w:tcPr>
            <w:tcW w:w="688" w:type="pct"/>
            <w:vMerge w:val="restart"/>
            <w:shd w:val="clear" w:color="auto" w:fill="auto"/>
            <w:vAlign w:val="center"/>
          </w:tcPr>
          <w:p>
            <w:pPr>
              <w:pStyle w:val="14"/>
              <w:bidi w:val="0"/>
            </w:pPr>
            <w:r>
              <w:rPr>
                <w:rFonts w:hint="eastAsia"/>
              </w:rPr>
              <w:t>绿色设施系统布局合理</w:t>
            </w:r>
          </w:p>
        </w:tc>
        <w:tc>
          <w:tcPr>
            <w:tcW w:w="3301" w:type="pct"/>
            <w:shd w:val="clear" w:color="auto" w:fill="auto"/>
            <w:vAlign w:val="center"/>
          </w:tcPr>
          <w:p>
            <w:pPr>
              <w:pStyle w:val="14"/>
              <w:bidi w:val="0"/>
            </w:pPr>
            <w:r>
              <w:t>1</w:t>
            </w:r>
            <w:r>
              <w:rPr>
                <w:rFonts w:hint="eastAsia"/>
              </w:rPr>
              <w:t>）绿色设施规模与其相应汇水区的雨水径流控制体积相匹配</w:t>
            </w:r>
          </w:p>
        </w:tc>
        <w:tc>
          <w:tcPr>
            <w:tcW w:w="342" w:type="pct"/>
            <w:shd w:val="clear" w:color="auto" w:fill="auto"/>
            <w:vAlign w:val="center"/>
          </w:tcPr>
          <w:p>
            <w:pPr>
              <w:pStyle w:val="14"/>
              <w:bidi w:val="0"/>
              <w:rPr>
                <w:rFonts w:hint="eastAsia"/>
                <w:lang w:eastAsia="zh-CN"/>
              </w:rPr>
            </w:pPr>
            <w:r>
              <w:rPr>
                <w:rFonts w:hint="eastAsia"/>
                <w:lang w:val="en-US" w:eastAsia="zh-CN"/>
              </w:rPr>
              <w:t>3</w:t>
            </w:r>
          </w:p>
        </w:tc>
        <w:tc>
          <w:tcPr>
            <w:tcW w:w="347" w:type="pct"/>
            <w:gridSpan w:val="2"/>
            <w:vMerge w:val="restart"/>
            <w:shd w:val="clear" w:color="auto" w:fill="auto"/>
            <w:vAlign w:val="center"/>
          </w:tcPr>
          <w:p>
            <w:pPr>
              <w:pStyle w:val="14"/>
              <w:bidi w:val="0"/>
              <w:rPr>
                <w:rFonts w:hint="default"/>
                <w:lang w:val="en-US" w:eastAsia="zh-CN"/>
              </w:rPr>
            </w:pPr>
            <w:r>
              <w:rPr>
                <w:rFonts w:hint="eastAsia"/>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2</w:t>
            </w:r>
            <w:r>
              <w:rPr>
                <w:rFonts w:hint="eastAsia"/>
              </w:rPr>
              <w:t>）衔接和引导场地内不低于8</w:t>
            </w:r>
            <w:r>
              <w:t>0%</w:t>
            </w:r>
            <w:r>
              <w:rPr>
                <w:rFonts w:hint="eastAsia"/>
              </w:rPr>
              <w:t>的不透水下垫面的雨水径流进入地面绿色设施</w:t>
            </w:r>
          </w:p>
        </w:tc>
        <w:tc>
          <w:tcPr>
            <w:tcW w:w="342" w:type="pct"/>
            <w:shd w:val="clear" w:color="auto" w:fill="auto"/>
            <w:vAlign w:val="center"/>
          </w:tcPr>
          <w:p>
            <w:pPr>
              <w:pStyle w:val="14"/>
              <w:bidi w:val="0"/>
              <w:rPr>
                <w:rFonts w:hint="eastAsia"/>
                <w:lang w:eastAsia="zh-CN"/>
              </w:rPr>
            </w:pPr>
            <w:r>
              <w:rPr>
                <w:rFonts w:hint="eastAsia"/>
                <w:lang w:val="en-US" w:eastAsia="zh-CN"/>
              </w:rPr>
              <w:t>3</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3</w:t>
            </w:r>
            <w:r>
              <w:rPr>
                <w:rFonts w:hint="eastAsia"/>
              </w:rPr>
              <w:t>）绿色设施布设与建构筑物、市政管网及其他配套设施的功能无冲突</w:t>
            </w:r>
          </w:p>
        </w:tc>
        <w:tc>
          <w:tcPr>
            <w:tcW w:w="342" w:type="pct"/>
            <w:shd w:val="clear" w:color="auto" w:fill="auto"/>
            <w:vAlign w:val="center"/>
          </w:tcPr>
          <w:p>
            <w:pPr>
              <w:pStyle w:val="14"/>
              <w:bidi w:val="0"/>
            </w:pPr>
            <w:r>
              <w:rPr>
                <w:rFonts w:hint="eastAsia"/>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4</w:t>
            </w:r>
            <w:r>
              <w:rPr>
                <w:rFonts w:hint="eastAsia"/>
              </w:rPr>
              <w:t>）绿色设施溢流排放系统与场地雨水管网排放系统良好衔接</w:t>
            </w:r>
          </w:p>
        </w:tc>
        <w:tc>
          <w:tcPr>
            <w:tcW w:w="342" w:type="pct"/>
            <w:shd w:val="clear" w:color="auto" w:fill="auto"/>
            <w:vAlign w:val="center"/>
          </w:tcPr>
          <w:p>
            <w:pPr>
              <w:pStyle w:val="14"/>
              <w:bidi w:val="0"/>
            </w:pPr>
            <w:r>
              <w:rPr>
                <w:rFonts w:hint="eastAsia"/>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5</w:t>
            </w:r>
            <w:r>
              <w:rPr>
                <w:rFonts w:hint="eastAsia"/>
              </w:rPr>
              <w:t>）利用场地内原有水体、湿地、坑塘、沟渠、低洼地，合理布置绿色设施</w:t>
            </w:r>
          </w:p>
        </w:tc>
        <w:tc>
          <w:tcPr>
            <w:tcW w:w="342" w:type="pct"/>
            <w:shd w:val="clear" w:color="auto" w:fill="auto"/>
            <w:vAlign w:val="center"/>
          </w:tcPr>
          <w:p>
            <w:pPr>
              <w:pStyle w:val="14"/>
              <w:bidi w:val="0"/>
            </w:pPr>
            <w:r>
              <w:rPr>
                <w:rFonts w:hint="eastAsia"/>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rPr>
                <w:rFonts w:hint="default"/>
                <w:lang w:val="en-US" w:eastAsia="zh-CN"/>
              </w:rPr>
            </w:pPr>
            <w:r>
              <w:rPr>
                <w:rFonts w:hint="eastAsia"/>
                <w:lang w:val="en-US" w:eastAsia="zh-CN"/>
              </w:rPr>
              <w:t>6）绿化屋顶的</w:t>
            </w:r>
            <w:r>
              <w:rPr>
                <w:rFonts w:hint="eastAsia"/>
              </w:rPr>
              <w:t>面积占屋顶</w:t>
            </w:r>
            <w:r>
              <w:rPr>
                <w:rFonts w:hint="eastAsia"/>
                <w:lang w:val="en-US" w:eastAsia="zh-CN"/>
              </w:rPr>
              <w:t>总</w:t>
            </w:r>
            <w:r>
              <w:rPr>
                <w:rFonts w:hint="eastAsia"/>
              </w:rPr>
              <w:t>面积的</w:t>
            </w:r>
            <w:r>
              <w:rPr>
                <w:rFonts w:hint="eastAsia"/>
                <w:lang w:eastAsia="zh-CN"/>
              </w:rPr>
              <w:t>比例</w:t>
            </w:r>
            <w:r>
              <w:rPr>
                <w:rFonts w:hint="eastAsia"/>
              </w:rPr>
              <w:t>≥</w:t>
            </w:r>
            <w:r>
              <w:rPr>
                <w:rFonts w:hint="eastAsia"/>
                <w:lang w:val="en-US" w:eastAsia="zh-CN"/>
              </w:rPr>
              <w:t>3</w:t>
            </w:r>
            <w:r>
              <w:rPr>
                <w:rFonts w:hint="eastAsia"/>
              </w:rPr>
              <w:t>0%</w:t>
            </w:r>
          </w:p>
        </w:tc>
        <w:tc>
          <w:tcPr>
            <w:tcW w:w="342" w:type="pct"/>
            <w:shd w:val="clear" w:color="auto" w:fill="auto"/>
            <w:vAlign w:val="center"/>
          </w:tcPr>
          <w:p>
            <w:pPr>
              <w:pStyle w:val="14"/>
              <w:bidi w:val="0"/>
              <w:rPr>
                <w:rFonts w:hint="eastAsia"/>
                <w:lang w:val="en-US"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restart"/>
            <w:shd w:val="clear" w:color="auto" w:fill="auto"/>
            <w:vAlign w:val="center"/>
          </w:tcPr>
          <w:p>
            <w:pPr>
              <w:pStyle w:val="14"/>
              <w:bidi w:val="0"/>
              <w:rPr>
                <w:rFonts w:hint="eastAsia" w:eastAsia="宋体"/>
                <w:lang w:eastAsia="zh-CN"/>
              </w:rPr>
            </w:pPr>
            <w:r>
              <w:rPr>
                <w:rFonts w:hint="eastAsia"/>
                <w:lang w:val="en-US" w:eastAsia="zh-CN"/>
              </w:rPr>
              <w:t>9</w:t>
            </w:r>
          </w:p>
        </w:tc>
        <w:tc>
          <w:tcPr>
            <w:tcW w:w="688" w:type="pct"/>
            <w:vMerge w:val="restart"/>
            <w:shd w:val="clear" w:color="auto" w:fill="auto"/>
            <w:vAlign w:val="center"/>
          </w:tcPr>
          <w:p>
            <w:pPr>
              <w:pStyle w:val="14"/>
              <w:bidi w:val="0"/>
            </w:pPr>
            <w:r>
              <w:rPr>
                <w:rFonts w:hint="eastAsia"/>
              </w:rPr>
              <w:t>绿色设施选择适宜</w:t>
            </w:r>
          </w:p>
        </w:tc>
        <w:tc>
          <w:tcPr>
            <w:tcW w:w="3301" w:type="pct"/>
            <w:shd w:val="clear" w:color="auto" w:fill="auto"/>
            <w:vAlign w:val="center"/>
          </w:tcPr>
          <w:p>
            <w:pPr>
              <w:pStyle w:val="14"/>
              <w:bidi w:val="0"/>
            </w:pPr>
            <w:r>
              <w:rPr>
                <w:rFonts w:hint="eastAsia"/>
              </w:rPr>
              <w:t>1）</w:t>
            </w:r>
            <w:r>
              <w:rPr>
                <w:rFonts w:hint="eastAsia"/>
                <w:lang w:eastAsia="zh-CN"/>
              </w:rPr>
              <w:t>海绵城市设施</w:t>
            </w:r>
            <w:r>
              <w:rPr>
                <w:rFonts w:hint="eastAsia"/>
              </w:rPr>
              <w:t>应符合功能多样性，单一功能设施不宜过度使用，</w:t>
            </w:r>
            <w:r>
              <w:rPr>
                <w:rFonts w:hint="eastAsia"/>
                <w:lang w:val="en-US" w:eastAsia="zh-CN"/>
              </w:rPr>
              <w:t>渗、滞类</w:t>
            </w:r>
            <w:r>
              <w:rPr>
                <w:rFonts w:hint="eastAsia"/>
              </w:rPr>
              <w:t>设施类型不少于4种</w:t>
            </w:r>
          </w:p>
        </w:tc>
        <w:tc>
          <w:tcPr>
            <w:tcW w:w="342" w:type="pct"/>
            <w:shd w:val="clear" w:color="auto" w:fill="auto"/>
            <w:vAlign w:val="center"/>
          </w:tcPr>
          <w:p>
            <w:pPr>
              <w:pStyle w:val="14"/>
              <w:bidi w:val="0"/>
            </w:pPr>
            <w:r>
              <w:t>2</w:t>
            </w:r>
          </w:p>
        </w:tc>
        <w:tc>
          <w:tcPr>
            <w:tcW w:w="347" w:type="pct"/>
            <w:gridSpan w:val="2"/>
            <w:vMerge w:val="restart"/>
            <w:shd w:val="clear" w:color="auto" w:fill="auto"/>
            <w:vAlign w:val="center"/>
          </w:tcPr>
          <w:p>
            <w:pPr>
              <w:pStyle w:val="14"/>
              <w:bidi w:val="0"/>
              <w:rPr>
                <w:rFonts w:hint="eastAsia"/>
                <w:lang w:eastAsia="zh-CN"/>
              </w:rPr>
            </w:pPr>
            <w:r>
              <w:rPr>
                <w:rFonts w:hint="eastAsia"/>
              </w:rPr>
              <w:t>1</w:t>
            </w: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rPr>
              <w:t>2）</w:t>
            </w:r>
            <w:r>
              <w:t>绿色调蓄设施前采用具有截污沉沙作用的措施，雨水经预处理装置处理后进入设施</w:t>
            </w:r>
          </w:p>
        </w:tc>
        <w:tc>
          <w:tcPr>
            <w:tcW w:w="342" w:type="pct"/>
            <w:shd w:val="clear" w:color="auto" w:fill="auto"/>
            <w:vAlign w:val="center"/>
          </w:tcPr>
          <w:p>
            <w:pPr>
              <w:pStyle w:val="14"/>
              <w:bidi w:val="0"/>
            </w:pPr>
            <w:r>
              <w:rPr>
                <w:rFonts w:hint="eastAsia"/>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102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rPr>
                <w:rFonts w:hint="eastAsia"/>
                <w:lang w:eastAsia="zh-CN"/>
              </w:rPr>
            </w:pPr>
            <w:r>
              <w:rPr>
                <w:rFonts w:hint="eastAsia"/>
              </w:rPr>
              <w:t>3）渗滞、调蓄</w:t>
            </w:r>
            <w:r>
              <w:rPr>
                <w:rFonts w:hint="eastAsia"/>
                <w:lang w:val="en-US" w:eastAsia="zh-CN"/>
              </w:rPr>
              <w:t>等</w:t>
            </w:r>
            <w:r>
              <w:rPr>
                <w:rFonts w:hint="eastAsia"/>
              </w:rPr>
              <w:t>绿色设施排空时间</w:t>
            </w:r>
            <w:r>
              <w:rPr>
                <w:rFonts w:hint="eastAsia"/>
                <w:lang w:val="en-US" w:eastAsia="zh-CN"/>
              </w:rPr>
              <w:t>符合有关标准要求，并考虑悬浮物（SS）去除效果、径流体积控制效果、植物耐淹性能、蚊蝇滋生等问题</w:t>
            </w:r>
          </w:p>
        </w:tc>
        <w:tc>
          <w:tcPr>
            <w:tcW w:w="342" w:type="pct"/>
            <w:shd w:val="clear" w:color="auto" w:fill="auto"/>
            <w:vAlign w:val="center"/>
          </w:tcPr>
          <w:p>
            <w:pPr>
              <w:pStyle w:val="14"/>
              <w:bidi w:val="0"/>
            </w:pPr>
            <w: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rPr>
                <w:rFonts w:hint="eastAsia"/>
              </w:rPr>
            </w:pPr>
            <w:r>
              <w:rPr>
                <w:rFonts w:hint="eastAsia"/>
                <w:lang w:val="en-US" w:eastAsia="zh-CN"/>
              </w:rPr>
              <w:t>4）绿色设施进水区植物具有耐冲刷性，蓄水区植物具有耐淹、抗污、抗旱性，耐淹能力与设计排空时间相符</w:t>
            </w:r>
          </w:p>
        </w:tc>
        <w:tc>
          <w:tcPr>
            <w:tcW w:w="342" w:type="pct"/>
            <w:shd w:val="clear" w:color="auto" w:fill="auto"/>
            <w:vAlign w:val="center"/>
          </w:tcPr>
          <w:p>
            <w:pPr>
              <w:pStyle w:val="14"/>
              <w:bidi w:val="0"/>
              <w:rPr>
                <w:rFonts w:hint="eastAsia"/>
                <w:lang w:val="en-US"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lang w:val="en-US" w:eastAsia="zh-CN"/>
              </w:rPr>
              <w:t>5</w:t>
            </w:r>
            <w:r>
              <w:rPr>
                <w:rFonts w:hint="eastAsia"/>
              </w:rPr>
              <w:t>）建筑屋顶雨水采用断接方式排至地面绿色设施，并设置相应消能防冲刷措施</w:t>
            </w:r>
          </w:p>
        </w:tc>
        <w:tc>
          <w:tcPr>
            <w:tcW w:w="342" w:type="pct"/>
            <w:shd w:val="clear" w:color="auto" w:fill="auto"/>
            <w:vAlign w:val="center"/>
          </w:tcPr>
          <w:p>
            <w:pPr>
              <w:pStyle w:val="14"/>
              <w:bidi w:val="0"/>
            </w:pPr>
            <w: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lang w:val="en-US" w:eastAsia="zh-CN"/>
              </w:rPr>
              <w:t>6</w:t>
            </w:r>
            <w:r>
              <w:rPr>
                <w:rFonts w:hint="eastAsia"/>
              </w:rPr>
              <w:t>）优先采用景观水体、湿塘、洼地作雨水调蓄、储存设施并配置水生植物净化水质</w:t>
            </w:r>
          </w:p>
        </w:tc>
        <w:tc>
          <w:tcPr>
            <w:tcW w:w="342" w:type="pct"/>
            <w:shd w:val="clear" w:color="auto" w:fill="auto"/>
            <w:vAlign w:val="center"/>
          </w:tcPr>
          <w:p>
            <w:pPr>
              <w:pStyle w:val="14"/>
              <w:bidi w:val="0"/>
            </w:pPr>
            <w: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lang w:val="en-US" w:eastAsia="zh-CN"/>
              </w:rPr>
              <w:t>7</w:t>
            </w:r>
            <w:r>
              <w:rPr>
                <w:rFonts w:hint="eastAsia"/>
              </w:rPr>
              <w:t>）采用植草沟、旱溪进行径流转输，进水端自然合理，集中进水设置消能措施；出水位置与周边排水设施平顺衔接</w:t>
            </w:r>
          </w:p>
        </w:tc>
        <w:tc>
          <w:tcPr>
            <w:tcW w:w="342" w:type="pct"/>
            <w:shd w:val="clear" w:color="auto" w:fill="auto"/>
            <w:vAlign w:val="center"/>
          </w:tcPr>
          <w:p>
            <w:pPr>
              <w:pStyle w:val="14"/>
              <w:bidi w:val="0"/>
            </w:pPr>
            <w:r>
              <w:rPr>
                <w:rFonts w:hint="eastAsia"/>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102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rPr>
                <w:rFonts w:hint="eastAsia"/>
                <w:lang w:val="en-US" w:eastAsia="zh-CN"/>
              </w:rPr>
            </w:pPr>
            <w:r>
              <w:rPr>
                <w:rFonts w:hint="eastAsia"/>
                <w:lang w:val="en-US" w:eastAsia="zh-CN"/>
              </w:rPr>
              <w:t>8）绿色设施与景观协同设计，</w:t>
            </w:r>
            <w:r>
              <w:rPr>
                <w:rFonts w:hint="eastAsia"/>
              </w:rPr>
              <w:t>成为</w:t>
            </w:r>
            <w:r>
              <w:rPr>
                <w:rFonts w:hint="eastAsia"/>
                <w:lang w:val="en-US" w:eastAsia="zh-CN"/>
              </w:rPr>
              <w:t>景观的主要节点</w:t>
            </w:r>
            <w:r>
              <w:rPr>
                <w:rFonts w:hint="eastAsia"/>
                <w:lang w:eastAsia="zh-CN"/>
              </w:rPr>
              <w:t>，</w:t>
            </w:r>
            <w:r>
              <w:rPr>
                <w:rFonts w:hint="eastAsia"/>
                <w:lang w:val="en-US" w:eastAsia="zh-CN"/>
              </w:rPr>
              <w:t>绿色设施内块石、碎石的选择、摆放与景观融合度高，与周边植物搭配合理</w:t>
            </w:r>
          </w:p>
        </w:tc>
        <w:tc>
          <w:tcPr>
            <w:tcW w:w="342" w:type="pct"/>
            <w:shd w:val="clear" w:color="auto" w:fill="auto"/>
            <w:vAlign w:val="center"/>
          </w:tcPr>
          <w:p>
            <w:pPr>
              <w:pStyle w:val="14"/>
              <w:bidi w:val="0"/>
              <w:rPr>
                <w:rFonts w:hint="eastAsia"/>
                <w:lang w:val="en-US"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1361" w:hRule="exact"/>
          <w:jc w:val="center"/>
        </w:trPr>
        <w:tc>
          <w:tcPr>
            <w:tcW w:w="316" w:type="pct"/>
            <w:vMerge w:val="restart"/>
            <w:shd w:val="clear" w:color="auto" w:fill="auto"/>
            <w:vAlign w:val="center"/>
          </w:tcPr>
          <w:p>
            <w:pPr>
              <w:pStyle w:val="14"/>
              <w:bidi w:val="0"/>
              <w:rPr>
                <w:rFonts w:hint="eastAsia" w:eastAsia="宋体"/>
                <w:lang w:eastAsia="zh-CN"/>
              </w:rPr>
            </w:pPr>
            <w:r>
              <w:rPr>
                <w:rFonts w:hint="eastAsia"/>
              </w:rPr>
              <w:t>1</w:t>
            </w:r>
            <w:r>
              <w:rPr>
                <w:rFonts w:hint="eastAsia"/>
                <w:lang w:val="en-US" w:eastAsia="zh-CN"/>
              </w:rPr>
              <w:t>0</w:t>
            </w:r>
          </w:p>
        </w:tc>
        <w:tc>
          <w:tcPr>
            <w:tcW w:w="688" w:type="pct"/>
            <w:vMerge w:val="restart"/>
            <w:shd w:val="clear" w:color="auto" w:fill="auto"/>
            <w:vAlign w:val="center"/>
          </w:tcPr>
          <w:p>
            <w:pPr>
              <w:pStyle w:val="14"/>
              <w:bidi w:val="0"/>
            </w:pPr>
            <w:r>
              <w:rPr>
                <w:rFonts w:hint="eastAsia"/>
              </w:rPr>
              <w:t>因地制宜采用雨水收集利用设施</w:t>
            </w:r>
          </w:p>
        </w:tc>
        <w:tc>
          <w:tcPr>
            <w:tcW w:w="3301" w:type="pct"/>
            <w:shd w:val="clear" w:color="auto" w:fill="auto"/>
            <w:vAlign w:val="center"/>
          </w:tcPr>
          <w:p>
            <w:pPr>
              <w:pStyle w:val="14"/>
              <w:bidi w:val="0"/>
            </w:pPr>
            <w:r>
              <w:rPr>
                <w:rFonts w:hint="eastAsia"/>
              </w:rPr>
              <w:t>1）采用雨水塘、雨水湿地等天然水体进行径流控制，进水口和溢流出水口设置碎石、消能坎等消能措施，底部配置净化和抗污染能力强、耐水的植物，边缘配置耐冲刷植物，具有良好的景观效果</w:t>
            </w:r>
          </w:p>
        </w:tc>
        <w:tc>
          <w:tcPr>
            <w:tcW w:w="342" w:type="pct"/>
            <w:shd w:val="clear" w:color="auto" w:fill="auto"/>
            <w:vAlign w:val="center"/>
          </w:tcPr>
          <w:p>
            <w:pPr>
              <w:pStyle w:val="14"/>
              <w:bidi w:val="0"/>
              <w:rPr>
                <w:rFonts w:hint="eastAsia"/>
                <w:lang w:eastAsia="zh-CN"/>
              </w:rPr>
            </w:pPr>
            <w:r>
              <w:rPr>
                <w:rFonts w:hint="eastAsia"/>
                <w:lang w:val="en-US" w:eastAsia="zh-CN"/>
              </w:rPr>
              <w:t>4</w:t>
            </w:r>
          </w:p>
        </w:tc>
        <w:tc>
          <w:tcPr>
            <w:tcW w:w="347" w:type="pct"/>
            <w:gridSpan w:val="2"/>
            <w:vMerge w:val="restart"/>
            <w:shd w:val="clear" w:color="auto" w:fill="auto"/>
            <w:vAlign w:val="center"/>
          </w:tcPr>
          <w:p>
            <w:pPr>
              <w:pStyle w:val="14"/>
              <w:bidi w:val="0"/>
              <w:rPr>
                <w:rFonts w:hint="eastAsia"/>
                <w:lang w:eastAsia="zh-CN"/>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rPr>
                <w:rFonts w:hint="eastAsia"/>
              </w:rPr>
            </w:pPr>
            <w:r>
              <w:rPr>
                <w:rFonts w:hint="eastAsia"/>
                <w:lang w:val="en-US" w:eastAsia="zh-CN"/>
              </w:rPr>
              <w:t>2</w:t>
            </w:r>
            <w:r>
              <w:rPr>
                <w:rFonts w:hint="eastAsia"/>
              </w:rPr>
              <w:t>）采用自动化控制雨水收集回用系统，</w:t>
            </w:r>
            <w:r>
              <w:rPr>
                <w:rFonts w:hint="eastAsia"/>
                <w:lang w:val="en-US" w:eastAsia="zh-CN"/>
              </w:rPr>
              <w:t>雨水</w:t>
            </w:r>
            <w:r>
              <w:rPr>
                <w:rFonts w:hint="eastAsia"/>
              </w:rPr>
              <w:t>用于绿化灌溉、道路浇洒、景观水体补水等</w:t>
            </w:r>
          </w:p>
        </w:tc>
        <w:tc>
          <w:tcPr>
            <w:tcW w:w="342" w:type="pct"/>
            <w:shd w:val="clear" w:color="auto" w:fill="auto"/>
            <w:vAlign w:val="center"/>
          </w:tcPr>
          <w:p>
            <w:pPr>
              <w:pStyle w:val="14"/>
              <w:bidi w:val="0"/>
              <w:rPr>
                <w:rFonts w:hint="eastAsia"/>
                <w:lang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716"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rPr>
                <w:rFonts w:hint="eastAsia"/>
                <w:lang w:val="en-US" w:eastAsia="zh-CN"/>
              </w:rPr>
            </w:pPr>
            <w:r>
              <w:rPr>
                <w:rFonts w:hint="eastAsia"/>
                <w:lang w:val="en-US" w:eastAsia="zh-CN"/>
              </w:rPr>
              <w:t>3</w:t>
            </w:r>
            <w:r>
              <w:rPr>
                <w:rFonts w:hint="eastAsia"/>
              </w:rPr>
              <w:t>）雨水蓄水池</w:t>
            </w:r>
            <w:r>
              <w:rPr>
                <w:rFonts w:hint="eastAsia"/>
                <w:lang w:val="en-US" w:eastAsia="zh-CN"/>
              </w:rPr>
              <w:t>具有顶部、侧向荷载以及池体抗浮稳定计算结果，</w:t>
            </w:r>
            <w:r>
              <w:rPr>
                <w:rFonts w:hint="eastAsia"/>
              </w:rPr>
              <w:t>雨水径流进入调蓄池前设有预处理设施且设计合理</w:t>
            </w:r>
          </w:p>
        </w:tc>
        <w:tc>
          <w:tcPr>
            <w:tcW w:w="342" w:type="pct"/>
            <w:shd w:val="clear" w:color="auto" w:fill="auto"/>
            <w:vAlign w:val="center"/>
          </w:tcPr>
          <w:p>
            <w:pPr>
              <w:pStyle w:val="14"/>
              <w:bidi w:val="0"/>
              <w:rPr>
                <w:rFonts w:hint="default"/>
                <w:lang w:val="en-US"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restart"/>
            <w:shd w:val="clear" w:color="auto" w:fill="auto"/>
            <w:vAlign w:val="center"/>
          </w:tcPr>
          <w:p>
            <w:pPr>
              <w:pStyle w:val="14"/>
              <w:bidi w:val="0"/>
              <w:rPr>
                <w:rFonts w:hint="eastAsia" w:eastAsia="宋体"/>
                <w:lang w:eastAsia="zh-CN"/>
              </w:rPr>
            </w:pPr>
            <w:r>
              <w:rPr>
                <w:rFonts w:hint="eastAsia"/>
              </w:rPr>
              <w:t>1</w:t>
            </w:r>
            <w:r>
              <w:rPr>
                <w:rFonts w:hint="eastAsia"/>
                <w:lang w:val="en-US" w:eastAsia="zh-CN"/>
              </w:rPr>
              <w:t>1</w:t>
            </w:r>
          </w:p>
        </w:tc>
        <w:tc>
          <w:tcPr>
            <w:tcW w:w="688" w:type="pct"/>
            <w:vMerge w:val="restart"/>
            <w:shd w:val="clear" w:color="auto" w:fill="auto"/>
            <w:vAlign w:val="center"/>
          </w:tcPr>
          <w:p>
            <w:pPr>
              <w:pStyle w:val="14"/>
              <w:bidi w:val="0"/>
            </w:pPr>
            <w:r>
              <w:rPr>
                <w:rFonts w:hint="eastAsia"/>
              </w:rPr>
              <w:t>雨水口设置</w:t>
            </w:r>
          </w:p>
        </w:tc>
        <w:tc>
          <w:tcPr>
            <w:tcW w:w="3301" w:type="pct"/>
            <w:shd w:val="clear" w:color="auto" w:fill="auto"/>
            <w:vAlign w:val="center"/>
          </w:tcPr>
          <w:p>
            <w:pPr>
              <w:pStyle w:val="14"/>
              <w:bidi w:val="0"/>
            </w:pPr>
            <w:r>
              <w:t>1</w:t>
            </w:r>
            <w:r>
              <w:rPr>
                <w:rFonts w:hint="eastAsia"/>
              </w:rPr>
              <w:t>）设计道路、铺装高于两侧绿地，地面雨水可顺利流入绿地</w:t>
            </w:r>
          </w:p>
        </w:tc>
        <w:tc>
          <w:tcPr>
            <w:tcW w:w="342" w:type="pct"/>
            <w:shd w:val="clear" w:color="auto" w:fill="auto"/>
            <w:vAlign w:val="center"/>
          </w:tcPr>
          <w:p>
            <w:pPr>
              <w:pStyle w:val="14"/>
              <w:bidi w:val="0"/>
            </w:pPr>
            <w:r>
              <w:t>1</w:t>
            </w:r>
          </w:p>
        </w:tc>
        <w:tc>
          <w:tcPr>
            <w:tcW w:w="347" w:type="pct"/>
            <w:gridSpan w:val="2"/>
            <w:vMerge w:val="restart"/>
            <w:shd w:val="clear" w:color="auto" w:fill="auto"/>
            <w:vAlign w:val="center"/>
          </w:tcPr>
          <w:p>
            <w:pPr>
              <w:pStyle w:val="14"/>
              <w:bidi w:val="0"/>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2</w:t>
            </w:r>
            <w:r>
              <w:rPr>
                <w:rFonts w:hint="eastAsia"/>
              </w:rPr>
              <w:t>）采用渗透式雨水口</w:t>
            </w:r>
          </w:p>
        </w:tc>
        <w:tc>
          <w:tcPr>
            <w:tcW w:w="342" w:type="pct"/>
            <w:shd w:val="clear" w:color="auto" w:fill="auto"/>
            <w:vAlign w:val="center"/>
          </w:tcPr>
          <w:p>
            <w:pPr>
              <w:pStyle w:val="14"/>
              <w:bidi w:val="0"/>
            </w:pPr>
            <w:r>
              <w:t>1</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rPr>
                <w:rFonts w:hint="eastAsia" w:eastAsia="宋体"/>
                <w:lang w:eastAsia="zh-CN"/>
              </w:rPr>
            </w:pPr>
            <w:r>
              <w:t>3</w:t>
            </w:r>
            <w:r>
              <w:rPr>
                <w:rFonts w:hint="eastAsia"/>
              </w:rPr>
              <w:t>）</w:t>
            </w:r>
            <w:r>
              <w:rPr>
                <w:rFonts w:hint="eastAsia"/>
                <w:lang w:eastAsia="zh-CN"/>
              </w:rPr>
              <w:t>溢流雨水口高程设置符合蓄排要求，井边缘经过美化处理，与绿地景观衔接良好</w:t>
            </w:r>
          </w:p>
        </w:tc>
        <w:tc>
          <w:tcPr>
            <w:tcW w:w="342" w:type="pct"/>
            <w:shd w:val="clear" w:color="auto" w:fill="auto"/>
            <w:vAlign w:val="center"/>
          </w:tcPr>
          <w:p>
            <w:pPr>
              <w:pStyle w:val="14"/>
              <w:bidi w:val="0"/>
              <w:rPr>
                <w:rFonts w:hint="eastAsia"/>
                <w:lang w:eastAsia="zh-CN"/>
              </w:rPr>
            </w:pPr>
            <w:r>
              <w:rPr>
                <w:rFonts w:hint="eastAsia"/>
                <w:lang w:val="en-US" w:eastAsia="zh-CN"/>
              </w:rPr>
              <w:t>1</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restart"/>
            <w:shd w:val="clear" w:color="auto" w:fill="auto"/>
            <w:vAlign w:val="center"/>
          </w:tcPr>
          <w:p>
            <w:pPr>
              <w:pStyle w:val="14"/>
              <w:bidi w:val="0"/>
              <w:rPr>
                <w:rFonts w:hint="eastAsia" w:eastAsia="宋体"/>
                <w:lang w:eastAsia="zh-CN"/>
              </w:rPr>
            </w:pPr>
            <w:r>
              <w:rPr>
                <w:rFonts w:hint="eastAsia"/>
              </w:rPr>
              <w:t>1</w:t>
            </w:r>
            <w:r>
              <w:rPr>
                <w:rFonts w:hint="eastAsia"/>
                <w:lang w:val="en-US" w:eastAsia="zh-CN"/>
              </w:rPr>
              <w:t>2</w:t>
            </w:r>
          </w:p>
        </w:tc>
        <w:tc>
          <w:tcPr>
            <w:tcW w:w="688" w:type="pct"/>
            <w:vMerge w:val="restart"/>
            <w:shd w:val="clear" w:color="auto" w:fill="auto"/>
            <w:vAlign w:val="center"/>
          </w:tcPr>
          <w:p>
            <w:pPr>
              <w:pStyle w:val="14"/>
              <w:bidi w:val="0"/>
            </w:pPr>
            <w:r>
              <w:rPr>
                <w:rFonts w:hint="eastAsia"/>
              </w:rPr>
              <w:t>因地制宜设置景观水体</w:t>
            </w:r>
          </w:p>
        </w:tc>
        <w:tc>
          <w:tcPr>
            <w:tcW w:w="3301" w:type="pct"/>
            <w:shd w:val="clear" w:color="auto" w:fill="auto"/>
            <w:vAlign w:val="center"/>
          </w:tcPr>
          <w:p>
            <w:pPr>
              <w:pStyle w:val="14"/>
              <w:bidi w:val="0"/>
            </w:pPr>
            <w:r>
              <w:t>1</w:t>
            </w:r>
            <w:r>
              <w:rPr>
                <w:rFonts w:hint="eastAsia"/>
              </w:rPr>
              <w:t>）采用生态驳岸</w:t>
            </w:r>
          </w:p>
        </w:tc>
        <w:tc>
          <w:tcPr>
            <w:tcW w:w="342" w:type="pct"/>
            <w:shd w:val="clear" w:color="auto" w:fill="auto"/>
            <w:vAlign w:val="center"/>
          </w:tcPr>
          <w:p>
            <w:pPr>
              <w:pStyle w:val="14"/>
              <w:bidi w:val="0"/>
              <w:rPr>
                <w:rFonts w:hint="eastAsia"/>
                <w:lang w:eastAsia="zh-CN"/>
              </w:rPr>
            </w:pPr>
            <w:r>
              <w:rPr>
                <w:rFonts w:hint="eastAsia"/>
                <w:lang w:val="en-US" w:eastAsia="zh-CN"/>
              </w:rPr>
              <w:t>2</w:t>
            </w:r>
          </w:p>
        </w:tc>
        <w:tc>
          <w:tcPr>
            <w:tcW w:w="347" w:type="pct"/>
            <w:gridSpan w:val="2"/>
            <w:vMerge w:val="restart"/>
            <w:shd w:val="clear" w:color="auto" w:fill="auto"/>
            <w:vAlign w:val="center"/>
          </w:tcPr>
          <w:p>
            <w:pPr>
              <w:pStyle w:val="14"/>
              <w:bidi w:val="0"/>
              <w:rPr>
                <w:rFonts w:hint="eastAsia"/>
                <w:lang w:eastAsia="zh-CN"/>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2</w:t>
            </w:r>
            <w:r>
              <w:rPr>
                <w:rFonts w:hint="eastAsia"/>
              </w:rPr>
              <w:t>）雨水作为</w:t>
            </w:r>
            <w:r>
              <w:rPr>
                <w:rFonts w:hint="eastAsia"/>
                <w:lang w:val="en-US" w:eastAsia="zh-CN"/>
              </w:rPr>
              <w:t>主要</w:t>
            </w:r>
            <w:r>
              <w:rPr>
                <w:rFonts w:hint="eastAsia"/>
              </w:rPr>
              <w:t>补水水源</w:t>
            </w:r>
          </w:p>
        </w:tc>
        <w:tc>
          <w:tcPr>
            <w:tcW w:w="342" w:type="pct"/>
            <w:shd w:val="clear" w:color="auto" w:fill="auto"/>
            <w:vAlign w:val="center"/>
          </w:tcPr>
          <w:p>
            <w:pPr>
              <w:pStyle w:val="14"/>
              <w:bidi w:val="0"/>
              <w:rPr>
                <w:rFonts w:hint="eastAsia"/>
                <w:lang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3</w:t>
            </w:r>
            <w:r>
              <w:rPr>
                <w:rFonts w:hint="eastAsia"/>
              </w:rPr>
              <w:t>）水体周边设置宽度不低于</w:t>
            </w:r>
            <w:r>
              <w:t>2m</w:t>
            </w:r>
            <w:r>
              <w:rPr>
                <w:rFonts w:hint="eastAsia"/>
              </w:rPr>
              <w:t>的植被缓冲带</w:t>
            </w:r>
          </w:p>
        </w:tc>
        <w:tc>
          <w:tcPr>
            <w:tcW w:w="342" w:type="pct"/>
            <w:shd w:val="clear" w:color="auto" w:fill="auto"/>
            <w:vAlign w:val="center"/>
          </w:tcPr>
          <w:p>
            <w:pPr>
              <w:pStyle w:val="14"/>
              <w:bidi w:val="0"/>
              <w:rPr>
                <w:rFonts w:hint="eastAsia"/>
                <w:lang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102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4</w:t>
            </w:r>
            <w:r>
              <w:rPr>
                <w:rFonts w:hint="eastAsia"/>
              </w:rPr>
              <w:t>）雨水进入水体之前经过沉淀、过滤、净化，进水水质不低于现行国家标准《地表水环境质量标准》</w:t>
            </w:r>
            <w:r>
              <w:t>GB3838</w:t>
            </w:r>
            <w:r>
              <w:rPr>
                <w:rFonts w:hint="eastAsia"/>
              </w:rPr>
              <w:t>规定的Ⅲ类水质</w:t>
            </w:r>
          </w:p>
        </w:tc>
        <w:tc>
          <w:tcPr>
            <w:tcW w:w="342" w:type="pct"/>
            <w:shd w:val="clear" w:color="auto" w:fill="auto"/>
            <w:vAlign w:val="center"/>
          </w:tcPr>
          <w:p>
            <w:pPr>
              <w:pStyle w:val="14"/>
              <w:bidi w:val="0"/>
              <w:rPr>
                <w:rFonts w:hint="eastAsia"/>
                <w:lang w:eastAsia="zh-CN"/>
              </w:rPr>
            </w:pPr>
            <w:r>
              <w:rPr>
                <w:rFonts w:hint="eastAsia"/>
                <w:lang w:val="en-US" w:eastAsia="zh-CN"/>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1361" w:hRule="exact"/>
          <w:jc w:val="center"/>
        </w:trPr>
        <w:tc>
          <w:tcPr>
            <w:tcW w:w="316" w:type="pct"/>
            <w:vMerge w:val="restart"/>
            <w:shd w:val="clear" w:color="auto" w:fill="auto"/>
            <w:vAlign w:val="center"/>
          </w:tcPr>
          <w:p>
            <w:pPr>
              <w:pStyle w:val="14"/>
              <w:bidi w:val="0"/>
              <w:rPr>
                <w:rFonts w:hint="eastAsia" w:eastAsia="宋体"/>
                <w:lang w:eastAsia="zh-CN"/>
              </w:rPr>
            </w:pPr>
            <w:r>
              <w:rPr>
                <w:rFonts w:hint="eastAsia"/>
              </w:rPr>
              <w:t>1</w:t>
            </w:r>
            <w:r>
              <w:rPr>
                <w:rFonts w:hint="eastAsia"/>
                <w:lang w:val="en-US" w:eastAsia="zh-CN"/>
              </w:rPr>
              <w:t>3</w:t>
            </w:r>
          </w:p>
        </w:tc>
        <w:tc>
          <w:tcPr>
            <w:tcW w:w="688" w:type="pct"/>
            <w:vMerge w:val="restart"/>
            <w:shd w:val="clear" w:color="auto" w:fill="auto"/>
            <w:vAlign w:val="center"/>
          </w:tcPr>
          <w:p>
            <w:pPr>
              <w:pStyle w:val="14"/>
              <w:bidi w:val="0"/>
            </w:pPr>
            <w:r>
              <w:rPr>
                <w:rFonts w:hint="eastAsia"/>
              </w:rPr>
              <w:t>合理设置安全防护设施</w:t>
            </w:r>
          </w:p>
        </w:tc>
        <w:tc>
          <w:tcPr>
            <w:tcW w:w="3301" w:type="pct"/>
            <w:shd w:val="clear" w:color="auto" w:fill="auto"/>
            <w:vAlign w:val="center"/>
          </w:tcPr>
          <w:p>
            <w:pPr>
              <w:pStyle w:val="14"/>
              <w:bidi w:val="0"/>
            </w:pPr>
            <w:r>
              <w:rPr>
                <w:rFonts w:hint="eastAsia"/>
              </w:rPr>
              <w:t>1）</w:t>
            </w:r>
            <w:r>
              <w:t>对于径流污染严重、设施底部渗透面距离季节性最高地下水位或岩石层小于1m及距离建筑物基础小于3m</w:t>
            </w:r>
            <w:r>
              <w:rPr>
                <w:rFonts w:hint="eastAsia"/>
              </w:rPr>
              <w:t>（</w:t>
            </w:r>
            <w:r>
              <w:t>水平距离</w:t>
            </w:r>
            <w:r>
              <w:rPr>
                <w:rFonts w:hint="eastAsia"/>
              </w:rPr>
              <w:t>）</w:t>
            </w:r>
            <w:r>
              <w:t>的区域以及湿陷性黄土地区</w:t>
            </w:r>
            <w:r>
              <w:rPr>
                <w:rFonts w:hint="eastAsia"/>
              </w:rPr>
              <w:t>、煤矿采空区</w:t>
            </w:r>
            <w:r>
              <w:t>，应综合考虑雨水下渗发生次生灾害的影响，并采取必要的防渗措施</w:t>
            </w:r>
          </w:p>
        </w:tc>
        <w:tc>
          <w:tcPr>
            <w:tcW w:w="342" w:type="pct"/>
            <w:shd w:val="clear" w:color="auto" w:fill="auto"/>
            <w:vAlign w:val="center"/>
          </w:tcPr>
          <w:p>
            <w:pPr>
              <w:pStyle w:val="14"/>
              <w:bidi w:val="0"/>
            </w:pPr>
            <w:r>
              <w:rPr>
                <w:rFonts w:hint="eastAsia"/>
              </w:rPr>
              <w:t>2</w:t>
            </w:r>
          </w:p>
        </w:tc>
        <w:tc>
          <w:tcPr>
            <w:tcW w:w="347" w:type="pct"/>
            <w:gridSpan w:val="2"/>
            <w:vMerge w:val="restart"/>
            <w:shd w:val="clear" w:color="auto" w:fill="auto"/>
            <w:vAlign w:val="center"/>
          </w:tcPr>
          <w:p>
            <w:pPr>
              <w:pStyle w:val="14"/>
              <w:bidi w:val="0"/>
            </w:pPr>
            <w:r>
              <w:rPr>
                <w:rFonts w:hint="eastAsi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rPr>
              <w:t>2）高差变化较大的坡地设置阶梯式绿地，控制引导坡面雨水径流并防止雨水冲刷</w:t>
            </w:r>
          </w:p>
        </w:tc>
        <w:tc>
          <w:tcPr>
            <w:tcW w:w="342" w:type="pct"/>
            <w:shd w:val="clear" w:color="auto" w:fill="auto"/>
            <w:vAlign w:val="center"/>
          </w:tcPr>
          <w:p>
            <w:pPr>
              <w:pStyle w:val="14"/>
              <w:bidi w:val="0"/>
            </w:pPr>
            <w:r>
              <w:rPr>
                <w:rFonts w:hint="eastAsia"/>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4"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rPr>
              <w:t>3）绿地、广场发挥雨水滞蓄及应急功能时，周边设有水位警戒及安全防护措施</w:t>
            </w:r>
          </w:p>
        </w:tc>
        <w:tc>
          <w:tcPr>
            <w:tcW w:w="342" w:type="pct"/>
            <w:shd w:val="clear" w:color="auto" w:fill="auto"/>
            <w:vAlign w:val="center"/>
          </w:tcPr>
          <w:p>
            <w:pPr>
              <w:pStyle w:val="14"/>
              <w:bidi w:val="0"/>
            </w:pPr>
            <w:r>
              <w:rPr>
                <w:rFonts w:hint="eastAsia"/>
              </w:rPr>
              <w:t>2</w:t>
            </w:r>
          </w:p>
        </w:tc>
        <w:tc>
          <w:tcPr>
            <w:tcW w:w="347" w:type="pct"/>
            <w:gridSpan w:val="2"/>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9" w:type="pct"/>
          <w:trHeight w:val="680" w:hRule="exact"/>
          <w:jc w:val="center"/>
        </w:trPr>
        <w:tc>
          <w:tcPr>
            <w:tcW w:w="316" w:type="pct"/>
            <w:vMerge w:val="restart"/>
            <w:shd w:val="clear" w:color="auto" w:fill="auto"/>
            <w:vAlign w:val="center"/>
          </w:tcPr>
          <w:p>
            <w:pPr>
              <w:pStyle w:val="14"/>
              <w:bidi w:val="0"/>
              <w:rPr>
                <w:rFonts w:hint="eastAsia" w:eastAsia="宋体"/>
                <w:lang w:eastAsia="zh-CN"/>
              </w:rPr>
            </w:pPr>
            <w:r>
              <w:t>1</w:t>
            </w:r>
            <w:r>
              <w:rPr>
                <w:rFonts w:hint="eastAsia"/>
                <w:lang w:val="en-US" w:eastAsia="zh-CN"/>
              </w:rPr>
              <w:t>4</w:t>
            </w:r>
          </w:p>
        </w:tc>
        <w:tc>
          <w:tcPr>
            <w:tcW w:w="688" w:type="pct"/>
            <w:vMerge w:val="restart"/>
            <w:shd w:val="clear" w:color="auto" w:fill="auto"/>
            <w:vAlign w:val="center"/>
          </w:tcPr>
          <w:p>
            <w:pPr>
              <w:pStyle w:val="14"/>
              <w:bidi w:val="0"/>
            </w:pPr>
            <w:r>
              <w:rPr>
                <w:rFonts w:hint="eastAsia"/>
              </w:rPr>
              <w:t>绿色设施植物配置合理</w:t>
            </w:r>
          </w:p>
        </w:tc>
        <w:tc>
          <w:tcPr>
            <w:tcW w:w="3301" w:type="pct"/>
            <w:shd w:val="clear" w:color="auto" w:fill="auto"/>
            <w:vAlign w:val="center"/>
          </w:tcPr>
          <w:p>
            <w:pPr>
              <w:pStyle w:val="14"/>
              <w:bidi w:val="0"/>
            </w:pPr>
            <w:r>
              <w:rPr>
                <w:rFonts w:hint="eastAsia"/>
                <w:lang w:val="en-US" w:eastAsia="zh-CN"/>
              </w:rPr>
              <w:t>1）</w:t>
            </w:r>
            <w:r>
              <w:rPr>
                <w:rFonts w:hint="eastAsia"/>
              </w:rPr>
              <w:t>乡土植物</w:t>
            </w:r>
            <w:r>
              <w:rPr>
                <w:rFonts w:hint="eastAsia"/>
                <w:lang w:val="en-US" w:eastAsia="zh-CN"/>
              </w:rPr>
              <w:t>种植面积占海绵城市设施绿化面积的比例</w:t>
            </w:r>
            <w:r>
              <w:rPr>
                <w:rFonts w:hint="eastAsia"/>
              </w:rPr>
              <w:t>不低于0.6</w:t>
            </w:r>
          </w:p>
        </w:tc>
        <w:tc>
          <w:tcPr>
            <w:tcW w:w="342" w:type="pct"/>
            <w:shd w:val="clear" w:color="auto" w:fill="auto"/>
            <w:vAlign w:val="center"/>
          </w:tcPr>
          <w:p>
            <w:pPr>
              <w:pStyle w:val="14"/>
              <w:bidi w:val="0"/>
            </w:pPr>
            <w:r>
              <w:t>1</w:t>
            </w:r>
          </w:p>
        </w:tc>
        <w:tc>
          <w:tcPr>
            <w:tcW w:w="342" w:type="pct"/>
            <w:vMerge w:val="restart"/>
            <w:shd w:val="clear" w:color="auto" w:fill="auto"/>
            <w:vAlign w:val="center"/>
          </w:tcPr>
          <w:p>
            <w:pPr>
              <w:pStyle w:val="14"/>
              <w:bidi w:val="0"/>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9"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t>2</w:t>
            </w:r>
            <w:r>
              <w:rPr>
                <w:rFonts w:hint="eastAsia"/>
              </w:rPr>
              <w:t>）采用耐淹耐旱植物，具有良好的水质净化性能</w:t>
            </w:r>
          </w:p>
        </w:tc>
        <w:tc>
          <w:tcPr>
            <w:tcW w:w="342" w:type="pct"/>
            <w:shd w:val="clear" w:color="auto" w:fill="auto"/>
            <w:vAlign w:val="center"/>
          </w:tcPr>
          <w:p>
            <w:pPr>
              <w:pStyle w:val="14"/>
              <w:bidi w:val="0"/>
            </w:pPr>
            <w:r>
              <w:t>1</w:t>
            </w:r>
          </w:p>
        </w:tc>
        <w:tc>
          <w:tcPr>
            <w:tcW w:w="342"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9"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rPr>
              <w:t>3）</w:t>
            </w:r>
            <w:r>
              <w:rPr>
                <w:rFonts w:hint="eastAsia"/>
                <w:lang w:val="en-US" w:eastAsia="zh-CN"/>
              </w:rPr>
              <w:t>单项设施物种数量不小于3类，</w:t>
            </w:r>
            <w:r>
              <w:rPr>
                <w:rFonts w:hint="eastAsia"/>
              </w:rPr>
              <w:t>乔灌草植物的比例搭配合理</w:t>
            </w:r>
          </w:p>
        </w:tc>
        <w:tc>
          <w:tcPr>
            <w:tcW w:w="342" w:type="pct"/>
            <w:shd w:val="clear" w:color="auto" w:fill="auto"/>
            <w:vAlign w:val="center"/>
          </w:tcPr>
          <w:p>
            <w:pPr>
              <w:pStyle w:val="14"/>
              <w:bidi w:val="0"/>
            </w:pPr>
            <w:r>
              <w:t>1</w:t>
            </w:r>
          </w:p>
        </w:tc>
        <w:tc>
          <w:tcPr>
            <w:tcW w:w="342"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9"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lang w:val="en-US" w:eastAsia="zh-CN"/>
              </w:rPr>
              <w:t>4）</w:t>
            </w:r>
            <w:r>
              <w:rPr>
                <w:rFonts w:hint="eastAsia"/>
              </w:rPr>
              <w:t>植物色彩配置感官良好，季相变化丰富</w:t>
            </w:r>
            <w:r>
              <w:rPr>
                <w:rFonts w:hint="eastAsia"/>
                <w:lang w:eastAsia="zh-CN"/>
              </w:rPr>
              <w:t>，</w:t>
            </w:r>
            <w:r>
              <w:rPr>
                <w:rFonts w:hint="eastAsia"/>
                <w:lang w:val="en-US" w:eastAsia="zh-CN"/>
              </w:rPr>
              <w:t>注重冬季效果</w:t>
            </w:r>
          </w:p>
        </w:tc>
        <w:tc>
          <w:tcPr>
            <w:tcW w:w="342" w:type="pct"/>
            <w:shd w:val="clear" w:color="auto" w:fill="auto"/>
            <w:vAlign w:val="center"/>
          </w:tcPr>
          <w:p>
            <w:pPr>
              <w:pStyle w:val="14"/>
              <w:bidi w:val="0"/>
            </w:pPr>
            <w:r>
              <w:t>1</w:t>
            </w:r>
          </w:p>
        </w:tc>
        <w:tc>
          <w:tcPr>
            <w:tcW w:w="342"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9" w:type="pct"/>
          <w:trHeight w:val="680" w:hRule="exact"/>
          <w:jc w:val="center"/>
        </w:trPr>
        <w:tc>
          <w:tcPr>
            <w:tcW w:w="316" w:type="pct"/>
            <w:vMerge w:val="continue"/>
            <w:shd w:val="clear" w:color="auto" w:fill="auto"/>
            <w:vAlign w:val="center"/>
          </w:tcPr>
          <w:p>
            <w:pPr>
              <w:pStyle w:val="14"/>
              <w:bidi w:val="0"/>
            </w:pPr>
          </w:p>
        </w:tc>
        <w:tc>
          <w:tcPr>
            <w:tcW w:w="688" w:type="pct"/>
            <w:vMerge w:val="continue"/>
            <w:shd w:val="clear" w:color="auto" w:fill="auto"/>
            <w:vAlign w:val="center"/>
          </w:tcPr>
          <w:p>
            <w:pPr>
              <w:pStyle w:val="14"/>
              <w:bidi w:val="0"/>
            </w:pPr>
          </w:p>
        </w:tc>
        <w:tc>
          <w:tcPr>
            <w:tcW w:w="3301" w:type="pct"/>
            <w:shd w:val="clear" w:color="auto" w:fill="auto"/>
            <w:vAlign w:val="center"/>
          </w:tcPr>
          <w:p>
            <w:pPr>
              <w:pStyle w:val="14"/>
              <w:bidi w:val="0"/>
            </w:pPr>
            <w:r>
              <w:rPr>
                <w:rFonts w:hint="eastAsia"/>
              </w:rPr>
              <w:t>5）绿色设施配置具有驱蚊虫功能的植物</w:t>
            </w:r>
          </w:p>
        </w:tc>
        <w:tc>
          <w:tcPr>
            <w:tcW w:w="342" w:type="pct"/>
            <w:shd w:val="clear" w:color="auto" w:fill="auto"/>
            <w:vAlign w:val="center"/>
          </w:tcPr>
          <w:p>
            <w:pPr>
              <w:pStyle w:val="14"/>
              <w:bidi w:val="0"/>
            </w:pPr>
            <w:r>
              <w:rPr>
                <w:rFonts w:hint="eastAsia"/>
              </w:rPr>
              <w:t>1</w:t>
            </w:r>
          </w:p>
        </w:tc>
        <w:tc>
          <w:tcPr>
            <w:tcW w:w="342" w:type="pct"/>
            <w:vMerge w:val="continue"/>
            <w:shd w:val="clear" w:color="auto" w:fill="auto"/>
            <w:vAlign w:val="center"/>
          </w:tcPr>
          <w:p>
            <w:pPr>
              <w:pStyle w:val="14"/>
              <w:bidi w:val="0"/>
            </w:pPr>
          </w:p>
        </w:tc>
      </w:tr>
    </w:tbl>
    <w:p>
      <w:pPr>
        <w:rPr>
          <w:szCs w:val="32"/>
        </w:rPr>
      </w:pPr>
      <w:r>
        <w:rPr>
          <w:szCs w:val="32"/>
        </w:rPr>
        <w:br w:type="page"/>
      </w:r>
    </w:p>
    <w:p>
      <w:pPr>
        <w:pStyle w:val="13"/>
      </w:pPr>
      <w:r>
        <w:t>Ⅲ设计文件规范性（</w:t>
      </w:r>
      <w:r>
        <w:rPr>
          <w:rFonts w:hint="eastAsia"/>
        </w:rPr>
        <w:t>10</w:t>
      </w:r>
      <w:r>
        <w:t>分）</w:t>
      </w:r>
    </w:p>
    <w:tbl>
      <w:tblPr>
        <w:tblStyle w:val="6"/>
        <w:tblpPr w:leftFromText="180" w:rightFromText="180" w:vertAnchor="text" w:horzAnchor="page" w:tblpX="1782" w:tblpY="104"/>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51"/>
        <w:gridCol w:w="1099"/>
        <w:gridCol w:w="5362"/>
        <w:gridCol w:w="648"/>
        <w:gridCol w:w="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trPr>
        <w:tc>
          <w:tcPr>
            <w:tcW w:w="331" w:type="pct"/>
            <w:vMerge w:val="restart"/>
            <w:shd w:val="clear" w:color="auto" w:fill="auto"/>
            <w:vAlign w:val="center"/>
          </w:tcPr>
          <w:p>
            <w:pPr>
              <w:pStyle w:val="14"/>
              <w:bidi w:val="0"/>
            </w:pPr>
            <w:r>
              <w:t>序号</w:t>
            </w:r>
          </w:p>
        </w:tc>
        <w:tc>
          <w:tcPr>
            <w:tcW w:w="3880" w:type="pct"/>
            <w:gridSpan w:val="2"/>
            <w:vMerge w:val="restart"/>
            <w:shd w:val="clear" w:color="auto" w:fill="auto"/>
            <w:vAlign w:val="center"/>
          </w:tcPr>
          <w:p>
            <w:pPr>
              <w:pStyle w:val="14"/>
              <w:bidi w:val="0"/>
            </w:pPr>
            <w:r>
              <w:t>评价标准</w:t>
            </w:r>
          </w:p>
        </w:tc>
        <w:tc>
          <w:tcPr>
            <w:tcW w:w="787" w:type="pct"/>
            <w:gridSpan w:val="2"/>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trPr>
        <w:tc>
          <w:tcPr>
            <w:tcW w:w="331" w:type="pct"/>
            <w:vMerge w:val="continue"/>
            <w:shd w:val="clear" w:color="auto" w:fill="auto"/>
            <w:vAlign w:val="center"/>
          </w:tcPr>
          <w:p>
            <w:pPr>
              <w:pStyle w:val="14"/>
              <w:bidi w:val="0"/>
            </w:pPr>
          </w:p>
        </w:tc>
        <w:tc>
          <w:tcPr>
            <w:tcW w:w="3880" w:type="pct"/>
            <w:gridSpan w:val="2"/>
            <w:vMerge w:val="continue"/>
            <w:shd w:val="clear" w:color="auto" w:fill="auto"/>
            <w:vAlign w:val="center"/>
          </w:tcPr>
          <w:p>
            <w:pPr>
              <w:pStyle w:val="14"/>
              <w:bidi w:val="0"/>
            </w:pPr>
          </w:p>
        </w:tc>
        <w:tc>
          <w:tcPr>
            <w:tcW w:w="389" w:type="pct"/>
            <w:shd w:val="clear" w:color="auto" w:fill="auto"/>
            <w:vAlign w:val="center"/>
          </w:tcPr>
          <w:p>
            <w:pPr>
              <w:pStyle w:val="14"/>
              <w:bidi w:val="0"/>
            </w:pPr>
            <w:r>
              <w:t>评分</w:t>
            </w:r>
          </w:p>
        </w:tc>
        <w:tc>
          <w:tcPr>
            <w:tcW w:w="398" w:type="pct"/>
            <w:shd w:val="clear" w:color="auto" w:fill="auto"/>
            <w:vAlign w:val="center"/>
          </w:tcPr>
          <w:p>
            <w:pPr>
              <w:pStyle w:val="14"/>
              <w:bidi w:val="0"/>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restart"/>
            <w:shd w:val="clear" w:color="auto" w:fill="auto"/>
            <w:vAlign w:val="center"/>
          </w:tcPr>
          <w:p>
            <w:pPr>
              <w:pStyle w:val="14"/>
              <w:bidi w:val="0"/>
              <w:rPr>
                <w:rFonts w:hint="eastAsia" w:eastAsia="宋体"/>
                <w:lang w:eastAsia="zh-CN"/>
              </w:rPr>
            </w:pPr>
            <w:r>
              <w:rPr>
                <w:rFonts w:hint="eastAsia"/>
              </w:rPr>
              <w:t>1</w:t>
            </w:r>
            <w:r>
              <w:rPr>
                <w:rFonts w:hint="eastAsia"/>
                <w:lang w:val="en-US" w:eastAsia="zh-CN"/>
              </w:rPr>
              <w:t>5</w:t>
            </w:r>
          </w:p>
        </w:tc>
        <w:tc>
          <w:tcPr>
            <w:tcW w:w="660" w:type="pct"/>
            <w:vMerge w:val="restart"/>
            <w:shd w:val="clear" w:color="auto" w:fill="auto"/>
            <w:vAlign w:val="center"/>
          </w:tcPr>
          <w:p>
            <w:pPr>
              <w:pStyle w:val="14"/>
              <w:bidi w:val="0"/>
            </w:pPr>
            <w:r>
              <w:rPr>
                <w:rFonts w:hint="eastAsia"/>
              </w:rPr>
              <w:t>设计文件规范</w:t>
            </w:r>
          </w:p>
        </w:tc>
        <w:tc>
          <w:tcPr>
            <w:tcW w:w="3220" w:type="pct"/>
            <w:shd w:val="clear" w:color="auto" w:fill="auto"/>
            <w:vAlign w:val="center"/>
          </w:tcPr>
          <w:p>
            <w:pPr>
              <w:pStyle w:val="14"/>
              <w:bidi w:val="0"/>
              <w:rPr>
                <w:lang w:val="en-US" w:eastAsia="zh-CN"/>
              </w:rPr>
            </w:pPr>
            <w:r>
              <w:rPr>
                <w:rFonts w:hint="eastAsia"/>
              </w:rPr>
              <w:t>1）各设计阶段的图件、说明、计算书</w:t>
            </w:r>
            <w:r>
              <w:rPr>
                <w:rFonts w:hint="eastAsia"/>
                <w:lang w:eastAsia="zh-CN"/>
              </w:rPr>
              <w:t>、</w:t>
            </w:r>
            <w:r>
              <w:rPr>
                <w:rFonts w:hint="eastAsia"/>
                <w:lang w:val="en-US" w:eastAsia="zh-CN"/>
              </w:rPr>
              <w:t>地质勘察报告</w:t>
            </w:r>
            <w:r>
              <w:rPr>
                <w:rFonts w:hint="eastAsia"/>
              </w:rPr>
              <w:t>齐全，满足</w:t>
            </w:r>
            <w:r>
              <w:rPr>
                <w:rFonts w:hint="eastAsia"/>
                <w:lang w:val="en-US" w:eastAsia="zh-CN"/>
              </w:rPr>
              <w:t>山西</w:t>
            </w:r>
            <w:r>
              <w:rPr>
                <w:rFonts w:hint="eastAsia"/>
              </w:rPr>
              <w:t>省海绵城市设计文件编制深度规定要求</w:t>
            </w:r>
          </w:p>
        </w:tc>
        <w:tc>
          <w:tcPr>
            <w:tcW w:w="389" w:type="pct"/>
            <w:shd w:val="clear" w:color="auto" w:fill="auto"/>
            <w:vAlign w:val="center"/>
          </w:tcPr>
          <w:p>
            <w:pPr>
              <w:pStyle w:val="14"/>
              <w:bidi w:val="0"/>
              <w:rPr>
                <w:rFonts w:hint="eastAsia"/>
                <w:lang w:val="en-US" w:eastAsia="zh-CN"/>
              </w:rPr>
            </w:pPr>
            <w:r>
              <w:rPr>
                <w:rFonts w:hint="eastAsia"/>
                <w:lang w:val="en-US" w:eastAsia="zh-CN"/>
              </w:rPr>
              <w:t>1</w:t>
            </w:r>
          </w:p>
        </w:tc>
        <w:tc>
          <w:tcPr>
            <w:tcW w:w="398" w:type="pct"/>
            <w:vMerge w:val="restart"/>
            <w:shd w:val="clear" w:color="auto" w:fill="auto"/>
            <w:vAlign w:val="center"/>
          </w:tcPr>
          <w:p>
            <w:pPr>
              <w:pStyle w:val="14"/>
              <w:bidi w:val="0"/>
              <w:rPr>
                <w:rFonts w:hint="eastAsia"/>
                <w:lang w:eastAsia="zh-CN"/>
              </w:rPr>
            </w:pP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rPr>
                <w:rFonts w:hint="eastAsia"/>
                <w:lang w:val="en-US" w:eastAsia="zh-CN"/>
              </w:rPr>
            </w:pPr>
            <w:r>
              <w:rPr>
                <w:rFonts w:hint="eastAsia"/>
                <w:lang w:val="en-US" w:eastAsia="zh-CN"/>
              </w:rPr>
              <w:t>2）设计图纸完整，各项海绵城市设施汇水范围明确，径流路径清晰，设施与雨水管网衔接</w:t>
            </w:r>
          </w:p>
        </w:tc>
        <w:tc>
          <w:tcPr>
            <w:tcW w:w="389" w:type="pct"/>
            <w:shd w:val="clear" w:color="auto" w:fill="auto"/>
            <w:vAlign w:val="center"/>
          </w:tcPr>
          <w:p>
            <w:pPr>
              <w:pStyle w:val="14"/>
              <w:bidi w:val="0"/>
              <w:rPr>
                <w:rFonts w:hint="eastAsia"/>
                <w:lang w:val="en-US" w:eastAsia="zh-CN"/>
              </w:rPr>
            </w:pPr>
            <w:r>
              <w:rPr>
                <w:rFonts w:hint="eastAsia"/>
                <w:lang w:val="en-US" w:eastAsia="zh-CN"/>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rPr>
                <w:rFonts w:hint="eastAsia"/>
                <w:lang w:val="en-US" w:eastAsia="zh-CN"/>
              </w:rPr>
            </w:pPr>
            <w:r>
              <w:rPr>
                <w:rFonts w:hint="eastAsia"/>
                <w:lang w:val="en-US" w:eastAsia="zh-CN"/>
              </w:rPr>
              <w:t>3）通过分析土壤条件计算入渗设施排空时间，人工土壤配比入渗性能满足排空时间要求</w:t>
            </w:r>
          </w:p>
        </w:tc>
        <w:tc>
          <w:tcPr>
            <w:tcW w:w="389" w:type="pct"/>
            <w:shd w:val="clear" w:color="auto" w:fill="auto"/>
            <w:vAlign w:val="center"/>
          </w:tcPr>
          <w:p>
            <w:pPr>
              <w:pStyle w:val="14"/>
              <w:bidi w:val="0"/>
              <w:rPr>
                <w:rFonts w:hint="eastAsia"/>
                <w:lang w:val="en-US" w:eastAsia="zh-CN"/>
              </w:rPr>
            </w:pPr>
            <w:r>
              <w:rPr>
                <w:rFonts w:hint="eastAsia"/>
                <w:lang w:val="en-US" w:eastAsia="zh-CN"/>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rPr>
                <w:rFonts w:hint="eastAsia"/>
                <w:lang w:val="en-US" w:eastAsia="zh-CN"/>
              </w:rPr>
            </w:pPr>
            <w:r>
              <w:rPr>
                <w:rFonts w:hint="eastAsia"/>
                <w:lang w:val="en-US" w:eastAsia="zh-CN"/>
              </w:rPr>
              <w:t>4）生物滞留</w:t>
            </w:r>
            <w:r>
              <w:rPr>
                <w:rFonts w:hint="eastAsia"/>
              </w:rPr>
              <w:t>设施边坡护坡设计合理，</w:t>
            </w:r>
            <w:r>
              <w:rPr>
                <w:rFonts w:hint="eastAsia"/>
                <w:lang w:val="en-US" w:eastAsia="zh-CN"/>
              </w:rPr>
              <w:t>设置防止</w:t>
            </w:r>
            <w:r>
              <w:rPr>
                <w:rFonts w:hint="eastAsia"/>
              </w:rPr>
              <w:t>流失问题</w:t>
            </w:r>
            <w:r>
              <w:rPr>
                <w:rFonts w:hint="eastAsia"/>
                <w:lang w:val="en-US" w:eastAsia="zh-CN"/>
              </w:rPr>
              <w:t>设施</w:t>
            </w:r>
          </w:p>
        </w:tc>
        <w:tc>
          <w:tcPr>
            <w:tcW w:w="389" w:type="pct"/>
            <w:shd w:val="clear" w:color="auto" w:fill="auto"/>
            <w:vAlign w:val="center"/>
          </w:tcPr>
          <w:p>
            <w:pPr>
              <w:pStyle w:val="14"/>
              <w:bidi w:val="0"/>
              <w:rPr>
                <w:rFonts w:hint="eastAsia"/>
                <w:lang w:val="en-US" w:eastAsia="zh-CN"/>
              </w:rPr>
            </w:pPr>
            <w:r>
              <w:rPr>
                <w:rFonts w:hint="eastAsia"/>
                <w:lang w:val="en-US" w:eastAsia="zh-CN"/>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rPr>
                <w:rFonts w:hint="default"/>
                <w:lang w:val="en-US" w:eastAsia="zh-CN"/>
              </w:rPr>
            </w:pPr>
            <w:r>
              <w:rPr>
                <w:rFonts w:hint="eastAsia"/>
                <w:lang w:val="en-US" w:eastAsia="zh-CN"/>
              </w:rPr>
              <w:t>5）雨水集蓄利用工艺完整，水质水位在线监测并有记录，出水口设置计量设施</w:t>
            </w:r>
          </w:p>
        </w:tc>
        <w:tc>
          <w:tcPr>
            <w:tcW w:w="389" w:type="pct"/>
            <w:shd w:val="clear" w:color="auto" w:fill="auto"/>
            <w:vAlign w:val="center"/>
          </w:tcPr>
          <w:p>
            <w:pPr>
              <w:pStyle w:val="14"/>
              <w:bidi w:val="0"/>
              <w:rPr>
                <w:rFonts w:hint="eastAsia"/>
                <w:lang w:val="en-US" w:eastAsia="zh-CN"/>
              </w:rPr>
            </w:pPr>
            <w:r>
              <w:rPr>
                <w:rFonts w:hint="eastAsia"/>
                <w:lang w:val="en-US" w:eastAsia="zh-CN"/>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rPr>
                <w:rFonts w:hint="default"/>
                <w:lang w:val="en-US" w:eastAsia="zh-CN"/>
              </w:rPr>
            </w:pPr>
            <w:r>
              <w:rPr>
                <w:rFonts w:hint="eastAsia"/>
                <w:lang w:val="en-US" w:eastAsia="zh-CN"/>
              </w:rPr>
              <w:t>6）明确海绵城市设施施工验收和运行维护管理的基本要求</w:t>
            </w:r>
          </w:p>
        </w:tc>
        <w:tc>
          <w:tcPr>
            <w:tcW w:w="389" w:type="pct"/>
            <w:shd w:val="clear" w:color="auto" w:fill="auto"/>
            <w:vAlign w:val="center"/>
          </w:tcPr>
          <w:p>
            <w:pPr>
              <w:pStyle w:val="14"/>
              <w:bidi w:val="0"/>
              <w:rPr>
                <w:rFonts w:hint="eastAsia"/>
                <w:lang w:val="en-US" w:eastAsia="zh-CN"/>
              </w:rPr>
            </w:pPr>
            <w:r>
              <w:rPr>
                <w:rFonts w:hint="eastAsia"/>
                <w:lang w:val="en-US" w:eastAsia="zh-CN"/>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rPr>
                <w:rFonts w:hint="eastAsia"/>
                <w:lang w:val="en-US" w:eastAsia="zh-CN"/>
              </w:rPr>
            </w:pPr>
            <w:r>
              <w:rPr>
                <w:rFonts w:hint="eastAsia"/>
                <w:lang w:val="en-US" w:eastAsia="zh-CN"/>
              </w:rPr>
              <w:t>7</w:t>
            </w:r>
            <w:r>
              <w:rPr>
                <w:rFonts w:hint="eastAsia"/>
              </w:rPr>
              <w:t>）提供监测系统方案，明确监测设施布点及设备选型</w:t>
            </w:r>
          </w:p>
        </w:tc>
        <w:tc>
          <w:tcPr>
            <w:tcW w:w="389" w:type="pct"/>
            <w:shd w:val="clear" w:color="auto" w:fill="auto"/>
            <w:vAlign w:val="center"/>
          </w:tcPr>
          <w:p>
            <w:pPr>
              <w:pStyle w:val="14"/>
              <w:bidi w:val="0"/>
              <w:rPr>
                <w:rFonts w:hint="eastAsia"/>
                <w:lang w:val="en-US" w:eastAsia="zh-CN"/>
              </w:rPr>
            </w:pPr>
            <w:r>
              <w:rPr>
                <w:rFonts w:hint="eastAsia"/>
                <w:lang w:val="en-US" w:eastAsia="zh-CN"/>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7" w:hRule="exact"/>
        </w:trPr>
        <w:tc>
          <w:tcPr>
            <w:tcW w:w="331" w:type="pct"/>
            <w:vMerge w:val="restart"/>
            <w:shd w:val="clear" w:color="auto" w:fill="auto"/>
            <w:vAlign w:val="center"/>
          </w:tcPr>
          <w:p>
            <w:pPr>
              <w:pStyle w:val="14"/>
              <w:bidi w:val="0"/>
              <w:rPr>
                <w:rFonts w:hint="eastAsia" w:eastAsia="宋体"/>
                <w:lang w:eastAsia="zh-CN"/>
              </w:rPr>
            </w:pPr>
            <w:r>
              <w:rPr>
                <w:rFonts w:hint="eastAsia"/>
              </w:rPr>
              <w:t>1</w:t>
            </w:r>
            <w:r>
              <w:rPr>
                <w:rFonts w:hint="eastAsia"/>
                <w:lang w:val="en-US" w:eastAsia="zh-CN"/>
              </w:rPr>
              <w:t>6</w:t>
            </w:r>
          </w:p>
        </w:tc>
        <w:tc>
          <w:tcPr>
            <w:tcW w:w="660" w:type="pct"/>
            <w:vMerge w:val="restart"/>
            <w:shd w:val="clear" w:color="auto" w:fill="auto"/>
            <w:vAlign w:val="center"/>
          </w:tcPr>
          <w:p>
            <w:pPr>
              <w:pStyle w:val="14"/>
              <w:bidi w:val="0"/>
            </w:pPr>
            <w:r>
              <w:rPr>
                <w:rFonts w:hint="eastAsia"/>
              </w:rPr>
              <w:t>设计深度指导性强</w:t>
            </w:r>
          </w:p>
        </w:tc>
        <w:tc>
          <w:tcPr>
            <w:tcW w:w="3220" w:type="pct"/>
            <w:shd w:val="clear" w:color="auto" w:fill="auto"/>
            <w:vAlign w:val="center"/>
          </w:tcPr>
          <w:p>
            <w:pPr>
              <w:pStyle w:val="14"/>
              <w:bidi w:val="0"/>
            </w:pPr>
            <w:r>
              <w:rPr>
                <w:rFonts w:hint="eastAsia"/>
              </w:rPr>
              <w:t>1）海绵设施平面布局图，图例齐全清晰</w:t>
            </w:r>
            <w:r>
              <w:rPr>
                <w:rFonts w:hint="eastAsia"/>
                <w:lang w:eastAsia="zh-CN"/>
              </w:rPr>
              <w:t>；</w:t>
            </w:r>
            <w:r>
              <w:rPr>
                <w:rFonts w:hint="eastAsia"/>
              </w:rPr>
              <w:t>透水铺装平面设计美观，不同场地和不同功能透水铺装分别设计不同结构</w:t>
            </w:r>
          </w:p>
        </w:tc>
        <w:tc>
          <w:tcPr>
            <w:tcW w:w="389" w:type="pct"/>
            <w:shd w:val="clear" w:color="auto" w:fill="auto"/>
            <w:vAlign w:val="center"/>
          </w:tcPr>
          <w:p>
            <w:pPr>
              <w:pStyle w:val="14"/>
              <w:bidi w:val="0"/>
              <w:rPr>
                <w:rFonts w:hint="eastAsia"/>
                <w:lang w:eastAsia="zh-CN"/>
              </w:rPr>
            </w:pPr>
            <w:r>
              <w:rPr>
                <w:rFonts w:hint="eastAsia"/>
                <w:lang w:val="en-US" w:eastAsia="zh-CN"/>
              </w:rPr>
              <w:t>2</w:t>
            </w:r>
          </w:p>
        </w:tc>
        <w:tc>
          <w:tcPr>
            <w:tcW w:w="398" w:type="pct"/>
            <w:vMerge w:val="restart"/>
            <w:shd w:val="clear" w:color="auto" w:fill="auto"/>
            <w:vAlign w:val="center"/>
          </w:tcPr>
          <w:p>
            <w:pPr>
              <w:pStyle w:val="14"/>
              <w:bidi w:val="0"/>
              <w:rPr>
                <w:rFonts w:hint="eastAsia"/>
                <w:lang w:eastAsia="zh-CN"/>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pPr>
            <w:r>
              <w:rPr>
                <w:rFonts w:hint="eastAsia"/>
              </w:rPr>
              <w:t>2）生物滞留设施合理布置消能、防冲刷功能，合理确定植物选择和种类搭配；不同类型生物滞留设施做法明确</w:t>
            </w:r>
          </w:p>
        </w:tc>
        <w:tc>
          <w:tcPr>
            <w:tcW w:w="389" w:type="pct"/>
            <w:shd w:val="clear" w:color="auto" w:fill="auto"/>
            <w:vAlign w:val="center"/>
          </w:tcPr>
          <w:p>
            <w:pPr>
              <w:pStyle w:val="14"/>
              <w:bidi w:val="0"/>
              <w:rPr>
                <w:rFonts w:hint="eastAsia"/>
                <w:lang w:eastAsia="zh-CN"/>
              </w:rPr>
            </w:pPr>
            <w:r>
              <w:rPr>
                <w:rFonts w:hint="eastAsia"/>
                <w:lang w:val="en-US" w:eastAsia="zh-CN"/>
              </w:rPr>
              <w:t>2</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pPr>
            <w:r>
              <w:rPr>
                <w:rFonts w:hint="eastAsia"/>
              </w:rPr>
              <w:t>3）雨水利用设施明确蓄水池位置、进出水管布设、动力设施电源、主要节点高程及利用系统，做法详图明确雨水收集、净化及</w:t>
            </w:r>
            <w:r>
              <w:rPr>
                <w:rFonts w:hint="eastAsia"/>
                <w:lang w:eastAsia="zh-CN"/>
              </w:rPr>
              <w:t>利</w:t>
            </w:r>
            <w:r>
              <w:rPr>
                <w:rFonts w:hint="eastAsia"/>
              </w:rPr>
              <w:t>用流程</w:t>
            </w:r>
          </w:p>
        </w:tc>
        <w:tc>
          <w:tcPr>
            <w:tcW w:w="389" w:type="pct"/>
            <w:shd w:val="clear" w:color="auto" w:fill="auto"/>
            <w:vAlign w:val="center"/>
          </w:tcPr>
          <w:p>
            <w:pPr>
              <w:pStyle w:val="14"/>
              <w:bidi w:val="0"/>
            </w:pPr>
            <w:r>
              <w:rPr>
                <w:rFonts w:hint="eastAsia"/>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pPr>
            <w:r>
              <w:rPr>
                <w:rFonts w:hint="eastAsia"/>
              </w:rPr>
              <w:t>4）植草沟、调节塘、旱溪、湿地等其他设施附平面布置图、设施定位图和各节点大样图</w:t>
            </w:r>
          </w:p>
        </w:tc>
        <w:tc>
          <w:tcPr>
            <w:tcW w:w="389" w:type="pct"/>
            <w:shd w:val="clear" w:color="auto" w:fill="auto"/>
            <w:vAlign w:val="center"/>
          </w:tcPr>
          <w:p>
            <w:pPr>
              <w:pStyle w:val="14"/>
              <w:bidi w:val="0"/>
            </w:pPr>
            <w:r>
              <w:rPr>
                <w:rFonts w:hint="eastAsia"/>
              </w:rPr>
              <w:t>1</w:t>
            </w:r>
          </w:p>
        </w:tc>
        <w:tc>
          <w:tcPr>
            <w:tcW w:w="398"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rPr>
        <w:tc>
          <w:tcPr>
            <w:tcW w:w="331" w:type="pct"/>
            <w:vMerge w:val="continue"/>
            <w:shd w:val="clear" w:color="auto" w:fill="auto"/>
            <w:vAlign w:val="center"/>
          </w:tcPr>
          <w:p>
            <w:pPr>
              <w:pStyle w:val="14"/>
              <w:bidi w:val="0"/>
            </w:pPr>
          </w:p>
        </w:tc>
        <w:tc>
          <w:tcPr>
            <w:tcW w:w="660" w:type="pct"/>
            <w:vMerge w:val="continue"/>
            <w:shd w:val="clear" w:color="auto" w:fill="auto"/>
            <w:vAlign w:val="center"/>
          </w:tcPr>
          <w:p>
            <w:pPr>
              <w:pStyle w:val="14"/>
              <w:bidi w:val="0"/>
            </w:pPr>
          </w:p>
        </w:tc>
        <w:tc>
          <w:tcPr>
            <w:tcW w:w="3220" w:type="pct"/>
            <w:shd w:val="clear" w:color="auto" w:fill="auto"/>
            <w:vAlign w:val="center"/>
          </w:tcPr>
          <w:p>
            <w:pPr>
              <w:pStyle w:val="14"/>
              <w:bidi w:val="0"/>
              <w:rPr>
                <w:rFonts w:hint="eastAsia"/>
              </w:rPr>
            </w:pPr>
            <w:r>
              <w:rPr>
                <w:rFonts w:hint="eastAsia"/>
                <w:lang w:val="en-US" w:eastAsia="zh-CN"/>
              </w:rPr>
              <w:t>5）设计文件中增加关于径流总量控制、径流污染削减及径流峰值控制等模型报告。</w:t>
            </w:r>
          </w:p>
        </w:tc>
        <w:tc>
          <w:tcPr>
            <w:tcW w:w="389" w:type="pct"/>
            <w:shd w:val="clear" w:color="auto" w:fill="auto"/>
            <w:vAlign w:val="center"/>
          </w:tcPr>
          <w:p>
            <w:pPr>
              <w:pStyle w:val="14"/>
              <w:bidi w:val="0"/>
              <w:rPr>
                <w:rFonts w:hint="eastAsia"/>
                <w:lang w:val="en-US" w:eastAsia="zh-CN"/>
              </w:rPr>
            </w:pPr>
            <w:r>
              <w:rPr>
                <w:rFonts w:hint="eastAsia"/>
                <w:lang w:val="en-US" w:eastAsia="zh-CN"/>
              </w:rPr>
              <w:t>2</w:t>
            </w:r>
          </w:p>
        </w:tc>
        <w:tc>
          <w:tcPr>
            <w:tcW w:w="398" w:type="pct"/>
            <w:vMerge w:val="continue"/>
            <w:shd w:val="clear" w:color="auto" w:fill="auto"/>
            <w:vAlign w:val="center"/>
          </w:tcPr>
          <w:p>
            <w:pPr>
              <w:pStyle w:val="14"/>
              <w:bidi w:val="0"/>
            </w:pPr>
          </w:p>
        </w:tc>
      </w:tr>
    </w:tbl>
    <w:p>
      <w:pPr>
        <w:rPr>
          <w:rFonts w:hint="eastAsia"/>
          <w:lang w:val="en-US" w:eastAsia="zh-CN"/>
        </w:rPr>
      </w:pPr>
      <w:r>
        <w:rPr>
          <w:rFonts w:hint="eastAsia"/>
          <w:lang w:val="en-US" w:eastAsia="zh-CN"/>
        </w:rPr>
        <w:t>5.2.2海绵城市建设项目专项设计的评分项评价方法应符合本标准第4.7条的规定。</w:t>
      </w:r>
    </w:p>
    <w:p>
      <w:pPr>
        <w:pStyle w:val="10"/>
        <w:ind w:left="0" w:leftChars="0" w:firstLine="0" w:firstLineChars="0"/>
        <w:jc w:val="both"/>
        <w:rPr>
          <w:rFonts w:hint="eastAsia"/>
        </w:rPr>
      </w:pPr>
    </w:p>
    <w:p>
      <w:pPr>
        <w:pStyle w:val="10"/>
        <w:ind w:left="0" w:leftChars="0" w:firstLine="0" w:firstLineChars="0"/>
        <w:jc w:val="both"/>
        <w:rPr>
          <w:rFonts w:hint="eastAsia"/>
        </w:rPr>
      </w:pPr>
    </w:p>
    <w:p>
      <w:pPr>
        <w:pStyle w:val="10"/>
        <w:ind w:left="0" w:leftChars="0" w:firstLine="0" w:firstLineChars="0"/>
        <w:jc w:val="both"/>
        <w:rPr>
          <w:rFonts w:hint="eastAsia"/>
        </w:rPr>
      </w:pPr>
    </w:p>
    <w:p>
      <w:pPr>
        <w:pStyle w:val="10"/>
        <w:ind w:left="0" w:leftChars="0" w:firstLine="0" w:firstLineChars="0"/>
        <w:jc w:val="both"/>
        <w:rPr>
          <w:rFonts w:hint="eastAsia"/>
        </w:rPr>
      </w:pPr>
    </w:p>
    <w:p>
      <w:pPr>
        <w:pStyle w:val="10"/>
        <w:ind w:left="0" w:leftChars="0" w:firstLine="0" w:firstLineChars="0"/>
        <w:jc w:val="both"/>
        <w:rPr>
          <w:rFonts w:hint="eastAsia"/>
        </w:rPr>
      </w:pPr>
    </w:p>
    <w:p>
      <w:pPr>
        <w:pStyle w:val="10"/>
        <w:ind w:left="0" w:leftChars="0" w:firstLine="0" w:firstLineChars="0"/>
        <w:jc w:val="both"/>
        <w:rPr>
          <w:rFonts w:hint="eastAsia"/>
        </w:rPr>
      </w:pPr>
    </w:p>
    <w:p>
      <w:pPr>
        <w:pStyle w:val="10"/>
        <w:ind w:left="0" w:leftChars="0" w:firstLine="0" w:firstLineChars="0"/>
        <w:jc w:val="both"/>
        <w:rPr>
          <w:rFonts w:hint="eastAsia"/>
        </w:rPr>
      </w:pPr>
    </w:p>
    <w:p>
      <w:pPr>
        <w:pStyle w:val="10"/>
        <w:ind w:left="0" w:leftChars="0" w:firstLine="0" w:firstLineChars="0"/>
        <w:jc w:val="both"/>
      </w:pPr>
    </w:p>
    <w:p>
      <w:pPr>
        <w:pStyle w:val="2"/>
      </w:pPr>
      <w:bookmarkStart w:id="29" w:name="_Toc164442242"/>
      <w:bookmarkStart w:id="30" w:name="_Toc15877"/>
      <w:r>
        <w:rPr>
          <w:rFonts w:hint="eastAsia"/>
          <w:lang w:val="en-US" w:eastAsia="zh-CN"/>
        </w:rPr>
        <w:t>6</w:t>
      </w:r>
      <w:r>
        <w:rPr>
          <w:rFonts w:hint="eastAsia"/>
        </w:rPr>
        <w:t xml:space="preserve"> </w:t>
      </w:r>
      <w:r>
        <w:t>施工建设评价</w:t>
      </w:r>
      <w:bookmarkEnd w:id="29"/>
      <w:bookmarkEnd w:id="30"/>
    </w:p>
    <w:p>
      <w:pPr>
        <w:pStyle w:val="3"/>
      </w:pPr>
      <w:bookmarkStart w:id="31" w:name="_Toc14512"/>
      <w:bookmarkStart w:id="32" w:name="_Toc164442243"/>
      <w:r>
        <w:rPr>
          <w:rFonts w:hint="eastAsia"/>
          <w:lang w:val="en-US" w:eastAsia="zh-CN"/>
        </w:rPr>
        <w:t>6</w:t>
      </w:r>
      <w:r>
        <w:t>.1</w:t>
      </w:r>
      <w:r>
        <w:rPr>
          <w:rFonts w:hint="eastAsia"/>
        </w:rPr>
        <w:t xml:space="preserve"> </w:t>
      </w:r>
      <w:r>
        <w:t>控制</w:t>
      </w:r>
      <w:r>
        <w:rPr>
          <w:rFonts w:hint="eastAsia"/>
        </w:rPr>
        <w:t>项</w:t>
      </w:r>
      <w:bookmarkEnd w:id="31"/>
      <w:bookmarkEnd w:id="32"/>
    </w:p>
    <w:p>
      <w:r>
        <w:rPr>
          <w:rFonts w:hint="eastAsia"/>
          <w:lang w:val="en-US" w:eastAsia="zh-CN"/>
        </w:rPr>
        <w:t>6</w:t>
      </w:r>
      <w:r>
        <w:t>.1.1施工单位应具备相应的施工资质，建立海绵城市建设工程项目施工管理体系和组织机构，落实各级责任人</w:t>
      </w:r>
      <w:r>
        <w:rPr>
          <w:rFonts w:hint="eastAsia"/>
        </w:rPr>
        <w:t>，</w:t>
      </w:r>
      <w:r>
        <w:t>并应配备具有海绵城市建设相关专业知识的技术人员</w:t>
      </w:r>
      <w:r>
        <w:rPr>
          <w:rFonts w:hint="eastAsia"/>
        </w:rPr>
        <w:t>。</w:t>
      </w:r>
    </w:p>
    <w:p>
      <w:pPr>
        <w:rPr>
          <w:rFonts w:hint="eastAsia"/>
          <w:highlight w:val="none"/>
        </w:rPr>
      </w:pPr>
      <w:r>
        <w:rPr>
          <w:rFonts w:hint="eastAsia"/>
          <w:lang w:val="en-US" w:eastAsia="zh-CN"/>
        </w:rPr>
        <w:t>6</w:t>
      </w:r>
      <w:r>
        <w:t>.1.2海绵城市建设项目应依据合同文件、设计文件和现行标准的相关规定编制施工组织设计，并按相应管理程序进行审批备案。施工前，</w:t>
      </w:r>
      <w:r>
        <w:rPr>
          <w:rFonts w:hint="eastAsia"/>
        </w:rPr>
        <w:t>建设单位</w:t>
      </w:r>
      <w:r>
        <w:t>应</w:t>
      </w:r>
      <w:r>
        <w:rPr>
          <w:rFonts w:hint="eastAsia"/>
        </w:rPr>
        <w:t>组织设</w:t>
      </w:r>
      <w:r>
        <w:rPr>
          <w:rFonts w:hint="eastAsia"/>
          <w:highlight w:val="none"/>
        </w:rPr>
        <w:t>计单位、施工单位、监理单位对</w:t>
      </w:r>
      <w:r>
        <w:rPr>
          <w:highlight w:val="none"/>
        </w:rPr>
        <w:t>海绵城市</w:t>
      </w:r>
      <w:r>
        <w:rPr>
          <w:rFonts w:hint="eastAsia"/>
          <w:highlight w:val="none"/>
          <w:lang w:val="en-US" w:eastAsia="zh-CN"/>
        </w:rPr>
        <w:t>重点设计内容</w:t>
      </w:r>
      <w:r>
        <w:rPr>
          <w:highlight w:val="none"/>
        </w:rPr>
        <w:t>专项会审</w:t>
      </w:r>
      <w:r>
        <w:rPr>
          <w:rFonts w:hint="eastAsia"/>
          <w:highlight w:val="none"/>
          <w:lang w:val="en-US" w:eastAsia="zh-CN"/>
        </w:rPr>
        <w:t>和施工交底</w:t>
      </w:r>
      <w:r>
        <w:rPr>
          <w:rFonts w:hint="eastAsia"/>
          <w:highlight w:val="none"/>
        </w:rPr>
        <w:t>。</w:t>
      </w:r>
    </w:p>
    <w:p>
      <w:pPr>
        <w:rPr>
          <w:rFonts w:hint="eastAsia"/>
          <w:lang w:val="en-US" w:eastAsia="zh-CN"/>
        </w:rPr>
      </w:pPr>
      <w:r>
        <w:rPr>
          <w:rFonts w:hint="eastAsia"/>
          <w:lang w:val="en-US" w:eastAsia="zh-CN"/>
        </w:rPr>
        <w:t>6</w:t>
      </w:r>
      <w:r>
        <w:t>.1.</w:t>
      </w:r>
      <w:r>
        <w:rPr>
          <w:rFonts w:hint="eastAsia"/>
          <w:lang w:val="en-US" w:eastAsia="zh-CN"/>
        </w:rPr>
        <w:t xml:space="preserve">3施工单位必须取得安全生产许可证，并应遵守有关施工安全、劳动保护、防火、防毒的法律、法规，必须建立安全管理体系和安全生产责任制。 </w:t>
      </w:r>
    </w:p>
    <w:p>
      <w:pPr>
        <w:rPr>
          <w:highlight w:val="none"/>
        </w:rPr>
      </w:pPr>
      <w:r>
        <w:rPr>
          <w:rFonts w:hint="eastAsia"/>
          <w:highlight w:val="none"/>
          <w:lang w:val="en-US" w:eastAsia="zh-CN"/>
        </w:rPr>
        <w:t>6</w:t>
      </w:r>
      <w:r>
        <w:rPr>
          <w:highlight w:val="none"/>
        </w:rPr>
        <w:t>.1.</w:t>
      </w:r>
      <w:r>
        <w:rPr>
          <w:rFonts w:hint="eastAsia"/>
          <w:highlight w:val="none"/>
          <w:lang w:val="en-US" w:eastAsia="zh-CN"/>
        </w:rPr>
        <w:t>4</w:t>
      </w:r>
      <w:r>
        <w:rPr>
          <w:highlight w:val="none"/>
        </w:rPr>
        <w:t>项目部应制定施工全过程的海绵城市设施专项施工</w:t>
      </w:r>
      <w:r>
        <w:rPr>
          <w:rFonts w:hint="eastAsia"/>
          <w:strike w:val="0"/>
          <w:dstrike w:val="0"/>
          <w:highlight w:val="none"/>
          <w:lang w:val="en-US" w:eastAsia="zh-CN"/>
        </w:rPr>
        <w:t>方案</w:t>
      </w:r>
      <w:r>
        <w:rPr>
          <w:highlight w:val="none"/>
        </w:rPr>
        <w:t>，</w:t>
      </w:r>
      <w:r>
        <w:rPr>
          <w:rFonts w:hint="eastAsia"/>
          <w:highlight w:val="none"/>
          <w:lang w:val="en-US" w:eastAsia="zh-CN"/>
        </w:rPr>
        <w:t>并</w:t>
      </w:r>
      <w:r>
        <w:rPr>
          <w:highlight w:val="none"/>
        </w:rPr>
        <w:t>定施工全过程的环境保护计划。</w:t>
      </w:r>
    </w:p>
    <w:p>
      <w:r>
        <w:rPr>
          <w:rFonts w:hint="eastAsia"/>
          <w:lang w:val="en-US" w:eastAsia="zh-CN"/>
        </w:rPr>
        <w:t>6</w:t>
      </w:r>
      <w:r>
        <w:t>.1.</w:t>
      </w:r>
      <w:r>
        <w:rPr>
          <w:rFonts w:hint="eastAsia"/>
          <w:lang w:val="en-US" w:eastAsia="zh-CN"/>
        </w:rPr>
        <w:t>5</w:t>
      </w:r>
      <w:r>
        <w:t>海绵城市建设项目的主要原材料、构件、配件、设备等应进行进场验收，并提供相应合格证、说明书、质量检测合格报告。</w:t>
      </w:r>
    </w:p>
    <w:p>
      <w:r>
        <w:rPr>
          <w:rFonts w:hint="eastAsia"/>
          <w:lang w:val="en-US" w:eastAsia="zh-CN"/>
        </w:rPr>
        <w:t>6</w:t>
      </w:r>
      <w:r>
        <w:t>.1.</w:t>
      </w:r>
      <w:r>
        <w:rPr>
          <w:rFonts w:hint="eastAsia"/>
          <w:lang w:val="en-US" w:eastAsia="zh-CN"/>
        </w:rPr>
        <w:t>6</w:t>
      </w:r>
      <w:r>
        <w:t>海绵城市建设相关各分项工程之间应进行交接检验</w:t>
      </w:r>
      <w:r>
        <w:rPr>
          <w:rFonts w:hint="eastAsia"/>
        </w:rPr>
        <w:t>，</w:t>
      </w:r>
      <w:r>
        <w:t>所有隐蔽分项工程应</w:t>
      </w:r>
      <w:r>
        <w:rPr>
          <w:rFonts w:hint="eastAsia"/>
        </w:rPr>
        <w:t>提供影像资料和过程监管记录，</w:t>
      </w:r>
      <w:r>
        <w:t>未经检验或验收不合格不得进行后续分项工程。</w:t>
      </w:r>
    </w:p>
    <w:p>
      <w:r>
        <w:rPr>
          <w:rFonts w:hint="eastAsia"/>
          <w:lang w:val="en-US" w:eastAsia="zh-CN"/>
        </w:rPr>
        <w:t>6</w:t>
      </w:r>
      <w:r>
        <w:t>.1.</w:t>
      </w:r>
      <w:r>
        <w:rPr>
          <w:rFonts w:hint="eastAsia"/>
          <w:lang w:val="en-US" w:eastAsia="zh-CN"/>
        </w:rPr>
        <w:t>7</w:t>
      </w:r>
      <w:r>
        <w:t>海绵城市建设项目应进行海绵城市</w:t>
      </w:r>
      <w:r>
        <w:rPr>
          <w:rFonts w:hint="eastAsia"/>
        </w:rPr>
        <w:t>专项验收或联合验收</w:t>
      </w:r>
      <w:r>
        <w:t>，相关</w:t>
      </w:r>
      <w:r>
        <w:rPr>
          <w:rFonts w:hint="eastAsia"/>
        </w:rPr>
        <w:t>设施</w:t>
      </w:r>
      <w:r>
        <w:t>应符合设计要求，验收报告及有关文件、资料</w:t>
      </w:r>
      <w:r>
        <w:rPr>
          <w:rFonts w:hint="eastAsia"/>
        </w:rPr>
        <w:t>应</w:t>
      </w:r>
      <w:r>
        <w:t>备案</w:t>
      </w:r>
      <w:r>
        <w:rPr>
          <w:rFonts w:hint="eastAsia"/>
        </w:rPr>
        <w:t>并</w:t>
      </w:r>
      <w:r>
        <w:t>完整归档。</w:t>
      </w:r>
    </w:p>
    <w:p>
      <w:pPr>
        <w:rPr>
          <w:rFonts w:hint="eastAsia"/>
          <w:lang w:val="en-US" w:eastAsia="zh-CN"/>
        </w:rPr>
      </w:pPr>
      <w:r>
        <w:rPr>
          <w:rFonts w:hint="eastAsia"/>
          <w:lang w:val="en-US" w:eastAsia="zh-CN"/>
        </w:rPr>
        <w:t>6.1.8海绵城市工程施工应积极推广使用成熟的，经示范城市、示范项目验证的新技术、新工艺、新材料、新设备。</w:t>
      </w:r>
    </w:p>
    <w:p>
      <w:pPr>
        <w:rPr>
          <w:rFonts w:hint="eastAsia"/>
          <w:lang w:val="en-US" w:eastAsia="zh-CN"/>
        </w:rPr>
      </w:pPr>
      <w:r>
        <w:rPr>
          <w:rFonts w:hint="eastAsia"/>
          <w:lang w:val="en-US" w:eastAsia="zh-CN"/>
        </w:rPr>
        <w:t>6.1.9施工单位应按照相应的施工技术标准对工程施工质量进行全过程控制，建设单位、勘察单位、设计单位、监理单位等各方应按有关规定对工程质量进行管理。</w:t>
      </w:r>
    </w:p>
    <w:p>
      <w:r>
        <w:rPr>
          <w:rFonts w:hint="eastAsia"/>
          <w:lang w:val="en-US" w:eastAsia="zh-CN"/>
        </w:rPr>
        <w:t>6</w:t>
      </w:r>
      <w:r>
        <w:t>.1.</w:t>
      </w:r>
      <w:r>
        <w:rPr>
          <w:rFonts w:hint="eastAsia"/>
          <w:lang w:val="en-US" w:eastAsia="zh-CN"/>
        </w:rPr>
        <w:t>10</w:t>
      </w:r>
      <w:r>
        <w:t>施工过程中不得发生重大</w:t>
      </w:r>
      <w:r>
        <w:rPr>
          <w:rFonts w:hint="eastAsia"/>
          <w:highlight w:val="none"/>
          <w:lang w:val="en-US" w:eastAsia="zh-CN"/>
        </w:rPr>
        <w:t>安全</w:t>
      </w:r>
      <w:r>
        <w:t>、质量和污染事故</w:t>
      </w:r>
      <w:r>
        <w:rPr>
          <w:rFonts w:hint="eastAsia"/>
        </w:rPr>
        <w:t>，</w:t>
      </w:r>
      <w:r>
        <w:t>不得造成不良社会影响。</w:t>
      </w:r>
    </w:p>
    <w:p>
      <w:bookmarkStart w:id="33" w:name="_Toc164442244"/>
      <w:r>
        <w:br w:type="page"/>
      </w:r>
    </w:p>
    <w:p>
      <w:pPr>
        <w:pStyle w:val="3"/>
      </w:pPr>
      <w:bookmarkStart w:id="34" w:name="_Toc28621"/>
      <w:r>
        <w:rPr>
          <w:rFonts w:hint="eastAsia"/>
          <w:lang w:val="en-US" w:eastAsia="zh-CN"/>
        </w:rPr>
        <w:t>6</w:t>
      </w:r>
      <w:r>
        <w:t>.</w:t>
      </w:r>
      <w:r>
        <w:rPr>
          <w:rFonts w:hint="eastAsia"/>
        </w:rPr>
        <w:t>2 评分项</w:t>
      </w:r>
      <w:bookmarkEnd w:id="33"/>
      <w:bookmarkEnd w:id="34"/>
    </w:p>
    <w:p>
      <w:r>
        <w:rPr>
          <w:rFonts w:hint="eastAsia"/>
          <w:lang w:val="en-US" w:eastAsia="zh-CN"/>
        </w:rPr>
        <w:t>6</w:t>
      </w:r>
      <w:r>
        <w:t>.2.1海绵城市建设项目施工建设评分项的评价标准和分值应按表</w:t>
      </w:r>
      <w:r>
        <w:rPr>
          <w:rFonts w:hint="eastAsia"/>
          <w:lang w:val="en-US" w:eastAsia="zh-CN"/>
        </w:rPr>
        <w:t>6</w:t>
      </w:r>
      <w:r>
        <w:t>.2.1的规定执行。</w:t>
      </w:r>
    </w:p>
    <w:p>
      <w:pPr>
        <w:pStyle w:val="13"/>
        <w:rPr>
          <w:lang w:val="zh-TW" w:eastAsia="zh-TW"/>
        </w:rPr>
      </w:pPr>
      <w:bookmarkStart w:id="35" w:name="bookmark70"/>
      <w:r>
        <w:rPr>
          <w:lang w:val="zh-TW" w:eastAsia="zh-TW"/>
        </w:rPr>
        <w:t>表</w:t>
      </w:r>
      <w:r>
        <w:rPr>
          <w:rFonts w:hint="eastAsia"/>
          <w:lang w:val="en-US" w:eastAsia="zh-CN"/>
        </w:rPr>
        <w:t>6</w:t>
      </w:r>
      <w:r>
        <w:t>.2.1</w:t>
      </w:r>
      <w:r>
        <w:rPr>
          <w:lang w:val="zh-TW" w:eastAsia="zh-TW"/>
        </w:rPr>
        <w:t>施工建设评分项</w:t>
      </w:r>
      <w:bookmarkEnd w:id="35"/>
    </w:p>
    <w:p>
      <w:pPr>
        <w:pStyle w:val="13"/>
      </w:pPr>
      <w:r>
        <w:rPr>
          <w:rFonts w:hint="eastAsia"/>
        </w:rPr>
        <w:t>Ⅰ过程管理规范性评价（60分）</w:t>
      </w:r>
    </w:p>
    <w:tbl>
      <w:tblPr>
        <w:tblStyle w:val="6"/>
        <w:tblW w:w="4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9"/>
        <w:gridCol w:w="1132"/>
        <w:gridCol w:w="5431"/>
        <w:gridCol w:w="56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16" w:type="pct"/>
            <w:vMerge w:val="restart"/>
            <w:shd w:val="clear" w:color="auto" w:fill="auto"/>
            <w:vAlign w:val="center"/>
          </w:tcPr>
          <w:p>
            <w:pPr>
              <w:pStyle w:val="14"/>
              <w:bidi w:val="0"/>
            </w:pPr>
            <w:r>
              <w:t>序号</w:t>
            </w:r>
          </w:p>
        </w:tc>
        <w:tc>
          <w:tcPr>
            <w:tcW w:w="3994" w:type="pct"/>
            <w:gridSpan w:val="2"/>
            <w:vMerge w:val="restart"/>
            <w:shd w:val="clear" w:color="auto" w:fill="auto"/>
            <w:vAlign w:val="center"/>
          </w:tcPr>
          <w:p>
            <w:pPr>
              <w:pStyle w:val="14"/>
              <w:bidi w:val="0"/>
            </w:pPr>
            <w:r>
              <w:t>评价标准</w:t>
            </w:r>
          </w:p>
        </w:tc>
        <w:tc>
          <w:tcPr>
            <w:tcW w:w="688" w:type="pct"/>
            <w:gridSpan w:val="2"/>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16" w:type="pct"/>
            <w:vMerge w:val="continue"/>
            <w:shd w:val="clear" w:color="auto" w:fill="auto"/>
            <w:vAlign w:val="center"/>
          </w:tcPr>
          <w:p>
            <w:pPr>
              <w:pStyle w:val="14"/>
              <w:bidi w:val="0"/>
            </w:pPr>
          </w:p>
        </w:tc>
        <w:tc>
          <w:tcPr>
            <w:tcW w:w="3994" w:type="pct"/>
            <w:gridSpan w:val="2"/>
            <w:vMerge w:val="continue"/>
            <w:shd w:val="clear" w:color="auto" w:fill="auto"/>
            <w:vAlign w:val="center"/>
          </w:tcPr>
          <w:p>
            <w:pPr>
              <w:pStyle w:val="14"/>
              <w:bidi w:val="0"/>
            </w:pPr>
          </w:p>
        </w:tc>
        <w:tc>
          <w:tcPr>
            <w:tcW w:w="343" w:type="pct"/>
            <w:shd w:val="clear" w:color="auto" w:fill="auto"/>
            <w:vAlign w:val="center"/>
          </w:tcPr>
          <w:p>
            <w:pPr>
              <w:pStyle w:val="14"/>
              <w:bidi w:val="0"/>
            </w:pPr>
            <w:r>
              <w:t>评分</w:t>
            </w:r>
          </w:p>
        </w:tc>
        <w:tc>
          <w:tcPr>
            <w:tcW w:w="345" w:type="pct"/>
            <w:shd w:val="clear" w:color="auto" w:fill="auto"/>
            <w:vAlign w:val="center"/>
          </w:tcPr>
          <w:p>
            <w:pPr>
              <w:pStyle w:val="14"/>
              <w:bidi w:val="0"/>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16" w:type="pct"/>
            <w:vMerge w:val="restart"/>
            <w:shd w:val="clear" w:color="auto" w:fill="auto"/>
            <w:vAlign w:val="center"/>
          </w:tcPr>
          <w:p>
            <w:pPr>
              <w:pStyle w:val="14"/>
              <w:bidi w:val="0"/>
            </w:pPr>
            <w:r>
              <w:rPr>
                <w:rFonts w:hint="eastAsia"/>
              </w:rPr>
              <w:t>1</w:t>
            </w:r>
          </w:p>
        </w:tc>
        <w:tc>
          <w:tcPr>
            <w:tcW w:w="689" w:type="pct"/>
            <w:vMerge w:val="restart"/>
            <w:shd w:val="clear" w:color="auto" w:fill="auto"/>
            <w:vAlign w:val="center"/>
          </w:tcPr>
          <w:p>
            <w:pPr>
              <w:pStyle w:val="14"/>
              <w:bidi w:val="0"/>
              <w:rPr>
                <w:rFonts w:hint="default" w:eastAsia="宋体"/>
                <w:lang w:val="en-US" w:eastAsia="zh-CN"/>
              </w:rPr>
            </w:pPr>
            <w:r>
              <w:rPr>
                <w:rFonts w:hint="eastAsia"/>
                <w:lang w:val="en-US" w:eastAsia="zh-CN"/>
              </w:rPr>
              <w:t>项目施工</w:t>
            </w:r>
          </w:p>
        </w:tc>
        <w:tc>
          <w:tcPr>
            <w:tcW w:w="3305" w:type="pct"/>
            <w:shd w:val="clear" w:color="auto" w:fill="auto"/>
            <w:vAlign w:val="center"/>
          </w:tcPr>
          <w:p>
            <w:pPr>
              <w:pStyle w:val="14"/>
              <w:bidi w:val="0"/>
              <w:rPr>
                <w:rFonts w:hint="default" w:eastAsia="宋体"/>
                <w:lang w:val="en-US" w:eastAsia="zh-CN"/>
              </w:rPr>
            </w:pPr>
            <w:r>
              <w:rPr>
                <w:rFonts w:hint="eastAsia"/>
                <w:lang w:val="en-US" w:eastAsia="zh-CN"/>
              </w:rPr>
              <w:t>1）施工单位制定海绵城市建设质量与安全管理体系</w:t>
            </w:r>
          </w:p>
        </w:tc>
        <w:tc>
          <w:tcPr>
            <w:tcW w:w="343" w:type="pct"/>
            <w:shd w:val="clear" w:color="auto" w:fill="auto"/>
            <w:vAlign w:val="center"/>
          </w:tcPr>
          <w:p>
            <w:pPr>
              <w:pStyle w:val="14"/>
              <w:bidi w:val="0"/>
              <w:rPr>
                <w:rFonts w:hint="eastAsia"/>
                <w:lang w:eastAsia="zh-CN"/>
              </w:rPr>
            </w:pPr>
            <w:r>
              <w:rPr>
                <w:rFonts w:hint="eastAsia"/>
                <w:lang w:val="en-US" w:eastAsia="zh-CN"/>
              </w:rPr>
              <w:t>2</w:t>
            </w:r>
          </w:p>
        </w:tc>
        <w:tc>
          <w:tcPr>
            <w:tcW w:w="345" w:type="pct"/>
            <w:vMerge w:val="restart"/>
            <w:shd w:val="clear" w:color="auto" w:fill="auto"/>
            <w:vAlign w:val="center"/>
          </w:tcPr>
          <w:p>
            <w:pPr>
              <w:pStyle w:val="14"/>
              <w:bidi w:val="0"/>
              <w:rPr>
                <w:rFonts w:hint="eastAsia"/>
                <w:lang w:eastAsia="zh-CN"/>
              </w:rPr>
            </w:pPr>
            <w:r>
              <w:rPr>
                <w:rFonts w:hint="eastAsia"/>
              </w:rPr>
              <w:t>4</w:t>
            </w: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pPr>
            <w:r>
              <w:rPr>
                <w:rFonts w:hint="eastAsia"/>
              </w:rPr>
              <w:t>2</w:t>
            </w:r>
            <w:r>
              <w:t>）施工单位会同设计单位、建设单位、监理单位进行海绵城市专项设计交底，及时解决施工图问题</w:t>
            </w:r>
          </w:p>
        </w:tc>
        <w:tc>
          <w:tcPr>
            <w:tcW w:w="343" w:type="pct"/>
            <w:shd w:val="clear" w:color="auto" w:fill="auto"/>
            <w:vAlign w:val="center"/>
          </w:tcPr>
          <w:p>
            <w:pPr>
              <w:pStyle w:val="14"/>
              <w:bidi w:val="0"/>
              <w:rPr>
                <w:rFonts w:hint="eastAsia"/>
                <w:lang w:eastAsia="zh-CN"/>
              </w:rPr>
            </w:pPr>
            <w:r>
              <w:rPr>
                <w:rFonts w:hint="eastAsia"/>
                <w:lang w:val="en-US" w:eastAsia="zh-CN"/>
              </w:rPr>
              <w:t>2</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pPr>
            <w:r>
              <w:rPr>
                <w:rFonts w:hint="eastAsia"/>
              </w:rPr>
              <w:t>3</w:t>
            </w:r>
            <w:r>
              <w:t>）施工时间避开雨季，如在雨季施工制定了针对</w:t>
            </w:r>
            <w:r>
              <w:rPr>
                <w:rFonts w:hint="eastAsia"/>
                <w:lang w:eastAsia="zh-CN"/>
              </w:rPr>
              <w:t>海绵城市设施</w:t>
            </w:r>
            <w:r>
              <w:t>的季节性施工方案，并提供应急预案和相关防范措施以及材料防雨、防冻、成品养护等措施</w:t>
            </w:r>
          </w:p>
        </w:tc>
        <w:tc>
          <w:tcPr>
            <w:tcW w:w="343" w:type="pct"/>
            <w:shd w:val="clear" w:color="auto" w:fill="auto"/>
            <w:vAlign w:val="center"/>
          </w:tcPr>
          <w:p>
            <w:pPr>
              <w:pStyle w:val="14"/>
              <w:bidi w:val="0"/>
              <w:rPr>
                <w:rFonts w:hint="eastAsia"/>
                <w:lang w:eastAsia="zh-CN"/>
              </w:rPr>
            </w:pPr>
            <w:r>
              <w:rPr>
                <w:rFonts w:hint="eastAsia"/>
                <w:lang w:val="en-US" w:eastAsia="zh-CN"/>
              </w:rPr>
              <w:t>3</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pPr>
            <w:r>
              <w:rPr>
                <w:rFonts w:hint="eastAsia"/>
              </w:rPr>
              <w:t>4</w:t>
            </w:r>
            <w:r>
              <w:t>）施工单位结合设计文件和地勘报告，复核、摸排场地土壤渗透性、地下水位等情况，及时上报反馈不符问题</w:t>
            </w:r>
            <w:r>
              <w:rPr>
                <w:rFonts w:hint="eastAsia"/>
              </w:rPr>
              <w:t>，提供复核、摸排记录</w:t>
            </w:r>
          </w:p>
        </w:tc>
        <w:tc>
          <w:tcPr>
            <w:tcW w:w="343" w:type="pct"/>
            <w:shd w:val="clear" w:color="auto" w:fill="auto"/>
            <w:vAlign w:val="center"/>
          </w:tcPr>
          <w:p>
            <w:pPr>
              <w:pStyle w:val="14"/>
              <w:bidi w:val="0"/>
              <w:rPr>
                <w:rFonts w:hint="eastAsia"/>
                <w:lang w:eastAsia="zh-CN"/>
              </w:rPr>
            </w:pPr>
            <w:r>
              <w:rPr>
                <w:rFonts w:hint="eastAsia"/>
                <w:lang w:val="en-US" w:eastAsia="zh-CN"/>
              </w:rPr>
              <w:t>3</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pPr>
            <w:r>
              <w:rPr>
                <w:rFonts w:hint="eastAsia"/>
              </w:rPr>
              <w:t>5）</w:t>
            </w:r>
            <w:r>
              <w:t>海绵技术的隐蔽工程应在隐蔽前经验收各方检验合格后，才能隐蔽，并应形成记录，能提供完整检验记录</w:t>
            </w:r>
          </w:p>
        </w:tc>
        <w:tc>
          <w:tcPr>
            <w:tcW w:w="343" w:type="pct"/>
            <w:shd w:val="clear" w:color="auto" w:fill="auto"/>
            <w:vAlign w:val="center"/>
          </w:tcPr>
          <w:p>
            <w:pPr>
              <w:pStyle w:val="14"/>
              <w:bidi w:val="0"/>
              <w:rPr>
                <w:rFonts w:hint="eastAsia" w:eastAsia="宋体"/>
                <w:lang w:eastAsia="zh-CN"/>
              </w:rPr>
            </w:pPr>
            <w:r>
              <w:rPr>
                <w:rFonts w:hint="eastAsia"/>
                <w:lang w:val="en-US" w:eastAsia="zh-CN"/>
              </w:rPr>
              <w:t>2</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8"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ind w:firstLine="0" w:firstLineChars="0"/>
              <w:rPr>
                <w:rFonts w:hint="eastAsia" w:ascii="Times New Roman" w:hAnsi="Times New Roman" w:eastAsia="宋体" w:cstheme="minorBidi"/>
                <w:kern w:val="2"/>
                <w:sz w:val="21"/>
                <w:szCs w:val="24"/>
                <w:lang w:val="en-US" w:eastAsia="zh-CN" w:bidi="ar-SA"/>
              </w:rPr>
            </w:pPr>
            <w:r>
              <w:rPr>
                <w:rFonts w:hint="eastAsia"/>
                <w:lang w:val="en-US" w:eastAsia="zh-CN"/>
              </w:rPr>
              <w:t>6</w:t>
            </w:r>
            <w:r>
              <w:t>）</w:t>
            </w:r>
            <w:r>
              <w:rPr>
                <w:rFonts w:hint="eastAsia"/>
                <w:lang w:val="en-US" w:eastAsia="zh-CN"/>
              </w:rPr>
              <w:t>海绵城市建设工程施工管理资料、工程施工技术资料、工程施工测量记录资料齐全，缺一项扣1分，扣完为止。</w:t>
            </w:r>
          </w:p>
        </w:tc>
        <w:tc>
          <w:tcPr>
            <w:tcW w:w="343" w:type="pct"/>
            <w:shd w:val="clear" w:color="auto" w:fill="auto"/>
            <w:vAlign w:val="center"/>
          </w:tcPr>
          <w:p>
            <w:pPr>
              <w:pStyle w:val="14"/>
              <w:bidi w:val="0"/>
              <w:rPr>
                <w:rFonts w:hint="eastAsia" w:eastAsia="宋体"/>
                <w:lang w:val="en-US" w:eastAsia="zh-CN"/>
              </w:rPr>
            </w:pPr>
            <w:r>
              <w:rPr>
                <w:rFonts w:hint="eastAsia"/>
                <w:lang w:val="en-US" w:eastAsia="zh-CN"/>
              </w:rPr>
              <w:t>3</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24"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ind w:firstLine="0" w:firstLineChars="0"/>
              <w:rPr>
                <w:rFonts w:hint="eastAsia" w:ascii="Times New Roman" w:hAnsi="Times New Roman" w:eastAsia="宋体" w:cstheme="minorBidi"/>
                <w:kern w:val="2"/>
                <w:sz w:val="21"/>
                <w:szCs w:val="24"/>
                <w:lang w:val="en-US" w:eastAsia="zh-CN" w:bidi="ar-SA"/>
              </w:rPr>
            </w:pPr>
            <w:r>
              <w:rPr>
                <w:rFonts w:hint="eastAsia"/>
                <w:lang w:val="en-US" w:eastAsia="zh-CN"/>
              </w:rPr>
              <w:t>7</w:t>
            </w:r>
            <w:r>
              <w:t>）</w:t>
            </w:r>
            <w:r>
              <w:rPr>
                <w:rFonts w:hint="eastAsia"/>
                <w:lang w:val="en-US" w:eastAsia="zh-CN"/>
              </w:rPr>
              <w:t>海绵城市建设工程预检记录、施工检查记录、中间检查交接记录、地基与基础检查记录、各项设施检查记录、构件吊装记录等施工资料齐全，缺一项扣1分，扣完为止。</w:t>
            </w:r>
          </w:p>
        </w:tc>
        <w:tc>
          <w:tcPr>
            <w:tcW w:w="343" w:type="pct"/>
            <w:shd w:val="clear" w:color="auto" w:fill="auto"/>
            <w:vAlign w:val="center"/>
          </w:tcPr>
          <w:p>
            <w:pPr>
              <w:pStyle w:val="14"/>
              <w:bidi w:val="0"/>
              <w:rPr>
                <w:rFonts w:hint="eastAsia" w:eastAsia="宋体"/>
                <w:lang w:val="en-US" w:eastAsia="zh-CN"/>
              </w:rPr>
            </w:pPr>
            <w:r>
              <w:rPr>
                <w:rFonts w:hint="eastAsia"/>
                <w:lang w:val="en-US" w:eastAsia="zh-CN"/>
              </w:rPr>
              <w:t>5</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pPr>
            <w:r>
              <w:rPr>
                <w:rFonts w:hint="eastAsia"/>
                <w:lang w:val="en-US" w:eastAsia="zh-CN"/>
              </w:rPr>
              <w:t>8</w:t>
            </w:r>
            <w:r>
              <w:rPr>
                <w:rFonts w:hint="eastAsia"/>
              </w:rPr>
              <w:t>）施工过程中应用的海绵城市相关产品应满足现行相关标准的要求。所有产品能够提供具有检测资质的机构提供的检测报告</w:t>
            </w:r>
          </w:p>
        </w:tc>
        <w:tc>
          <w:tcPr>
            <w:tcW w:w="343" w:type="pct"/>
            <w:shd w:val="clear" w:color="auto" w:fill="auto"/>
            <w:vAlign w:val="center"/>
          </w:tcPr>
          <w:p>
            <w:pPr>
              <w:pStyle w:val="14"/>
              <w:bidi w:val="0"/>
            </w:pPr>
            <w:r>
              <w:rPr>
                <w:rFonts w:hint="eastAsia"/>
              </w:rPr>
              <w:t>5</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pPr>
            <w:r>
              <w:rPr>
                <w:rFonts w:hint="eastAsia"/>
                <w:lang w:val="en-US" w:eastAsia="zh-CN"/>
              </w:rPr>
              <w:t>9</w:t>
            </w:r>
            <w:r>
              <w:t>）施工单位对施工场地内、城市道路市政雨水口、检查井和管道等既有设施进行保护，建造或安装临时排水、</w:t>
            </w:r>
            <w:r>
              <w:rPr>
                <w:rFonts w:hint="eastAsia"/>
                <w:lang w:val="en-US" w:eastAsia="zh-CN"/>
              </w:rPr>
              <w:t>水土保持</w:t>
            </w:r>
            <w:r>
              <w:t>措施及既有管道保护措施</w:t>
            </w:r>
          </w:p>
        </w:tc>
        <w:tc>
          <w:tcPr>
            <w:tcW w:w="343" w:type="pct"/>
            <w:shd w:val="clear" w:color="auto" w:fill="auto"/>
            <w:vAlign w:val="center"/>
          </w:tcPr>
          <w:p>
            <w:pPr>
              <w:pStyle w:val="14"/>
              <w:bidi w:val="0"/>
            </w:pPr>
            <w:r>
              <w:rPr>
                <w:rFonts w:hint="eastAsia"/>
              </w:rPr>
              <w:t>5</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pPr>
            <w:r>
              <w:rPr>
                <w:rFonts w:hint="eastAsia"/>
                <w:lang w:val="en-US" w:eastAsia="zh-CN"/>
              </w:rPr>
              <w:t>10</w:t>
            </w:r>
            <w:r>
              <w:t>）施工单位对施工中选用的重点材料及</w:t>
            </w:r>
            <w:r>
              <w:rPr>
                <w:rFonts w:hint="eastAsia"/>
                <w:lang w:eastAsia="zh-CN"/>
              </w:rPr>
              <w:t>海绵城市设施</w:t>
            </w:r>
            <w:r>
              <w:t>的关键工序、重要部位进行拍照或录像留档</w:t>
            </w:r>
          </w:p>
        </w:tc>
        <w:tc>
          <w:tcPr>
            <w:tcW w:w="343" w:type="pct"/>
            <w:shd w:val="clear" w:color="auto" w:fill="auto"/>
            <w:vAlign w:val="center"/>
          </w:tcPr>
          <w:p>
            <w:pPr>
              <w:pStyle w:val="14"/>
              <w:bidi w:val="0"/>
              <w:rPr>
                <w:rFonts w:hint="eastAsia" w:eastAsia="宋体"/>
                <w:lang w:eastAsia="zh-CN"/>
              </w:rPr>
            </w:pPr>
            <w:r>
              <w:rPr>
                <w:rFonts w:hint="eastAsia"/>
                <w:lang w:val="en-US" w:eastAsia="zh-CN"/>
              </w:rPr>
              <w:t>3</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ind w:firstLine="0" w:firstLineChars="0"/>
              <w:rPr>
                <w:rFonts w:hint="default" w:ascii="Times New Roman" w:hAnsi="Times New Roman" w:eastAsia="宋体" w:cstheme="minorBidi"/>
                <w:kern w:val="2"/>
                <w:sz w:val="21"/>
                <w:szCs w:val="24"/>
                <w:lang w:val="en-US" w:eastAsia="zh-CN" w:bidi="ar-SA"/>
              </w:rPr>
            </w:pPr>
            <w:r>
              <w:rPr>
                <w:rFonts w:hint="eastAsia"/>
                <w:lang w:val="en-US" w:eastAsia="zh-CN"/>
              </w:rPr>
              <w:t>11）严格按照施工图的平面、大样做法和工序要求进行施工，并留有过程验证资料</w:t>
            </w:r>
          </w:p>
        </w:tc>
        <w:tc>
          <w:tcPr>
            <w:tcW w:w="343" w:type="pct"/>
            <w:shd w:val="clear" w:color="auto" w:fill="auto"/>
            <w:vAlign w:val="center"/>
          </w:tcPr>
          <w:p>
            <w:pPr>
              <w:pStyle w:val="14"/>
              <w:bidi w:val="0"/>
              <w:rPr>
                <w:rFonts w:hint="default"/>
                <w:lang w:val="en-US" w:eastAsia="zh-CN"/>
              </w:rPr>
            </w:pPr>
            <w:r>
              <w:rPr>
                <w:rFonts w:hint="eastAsia"/>
                <w:lang w:val="en-US" w:eastAsia="zh-CN"/>
              </w:rPr>
              <w:t>5</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ind w:firstLine="0" w:firstLineChars="0"/>
              <w:rPr>
                <w:rFonts w:hint="default" w:ascii="Times New Roman" w:hAnsi="Times New Roman" w:eastAsia="宋体" w:cstheme="minorBidi"/>
                <w:kern w:val="2"/>
                <w:sz w:val="21"/>
                <w:szCs w:val="24"/>
                <w:lang w:val="en-US" w:eastAsia="zh-CN" w:bidi="ar-SA"/>
              </w:rPr>
            </w:pPr>
            <w:r>
              <w:rPr>
                <w:rFonts w:hint="eastAsia"/>
                <w:lang w:val="en-US" w:eastAsia="zh-CN"/>
              </w:rPr>
              <w:t>12）海绵城市设施</w:t>
            </w:r>
            <w:r>
              <w:rPr>
                <w:rFonts w:hint="eastAsia"/>
              </w:rPr>
              <w:t>与景观</w:t>
            </w:r>
            <w:r>
              <w:rPr>
                <w:rFonts w:hint="eastAsia"/>
                <w:lang w:val="en-US" w:eastAsia="zh-CN"/>
              </w:rPr>
              <w:t>绿地协同施工，</w:t>
            </w:r>
            <w:r>
              <w:rPr>
                <w:rFonts w:hint="eastAsia"/>
              </w:rPr>
              <w:t>地形</w:t>
            </w:r>
            <w:r>
              <w:rPr>
                <w:rFonts w:hint="eastAsia"/>
                <w:lang w:val="en-US" w:eastAsia="zh-CN"/>
              </w:rPr>
              <w:t>衔接良好，</w:t>
            </w:r>
            <w:r>
              <w:rPr>
                <w:rFonts w:hint="eastAsia"/>
              </w:rPr>
              <w:t>融合度</w:t>
            </w:r>
            <w:r>
              <w:rPr>
                <w:rFonts w:hint="eastAsia"/>
                <w:lang w:val="en-US" w:eastAsia="zh-CN"/>
              </w:rPr>
              <w:t>高</w:t>
            </w:r>
            <w:r>
              <w:rPr>
                <w:rFonts w:hint="eastAsia"/>
              </w:rPr>
              <w:t>，与室外植物种植，土方地形塑造的工序协同</w:t>
            </w:r>
          </w:p>
        </w:tc>
        <w:tc>
          <w:tcPr>
            <w:tcW w:w="343" w:type="pct"/>
            <w:shd w:val="clear" w:color="auto" w:fill="auto"/>
            <w:vAlign w:val="center"/>
          </w:tcPr>
          <w:p>
            <w:pPr>
              <w:pStyle w:val="14"/>
              <w:bidi w:val="0"/>
              <w:rPr>
                <w:rFonts w:hint="default"/>
                <w:lang w:val="en-US" w:eastAsia="zh-CN"/>
              </w:rPr>
            </w:pPr>
            <w:r>
              <w:rPr>
                <w:rFonts w:hint="eastAsia"/>
                <w:lang w:val="en-US" w:eastAsia="zh-CN"/>
              </w:rPr>
              <w:t>5</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rPr>
                <w:rFonts w:hint="eastAsia"/>
                <w:lang w:val="en-US" w:eastAsia="zh-CN"/>
              </w:rPr>
            </w:pPr>
            <w:r>
              <w:rPr>
                <w:rFonts w:hint="eastAsia"/>
                <w:lang w:val="en-US" w:eastAsia="zh-CN"/>
              </w:rPr>
              <w:t>13）</w:t>
            </w:r>
            <w:r>
              <w:t>对建成的</w:t>
            </w:r>
            <w:r>
              <w:rPr>
                <w:rFonts w:hint="eastAsia"/>
                <w:lang w:eastAsia="zh-CN"/>
              </w:rPr>
              <w:t>海绵城市设施</w:t>
            </w:r>
            <w:r>
              <w:t>进行成品保护</w:t>
            </w:r>
          </w:p>
        </w:tc>
        <w:tc>
          <w:tcPr>
            <w:tcW w:w="343" w:type="pct"/>
            <w:shd w:val="clear" w:color="auto" w:fill="auto"/>
            <w:vAlign w:val="center"/>
          </w:tcPr>
          <w:p>
            <w:pPr>
              <w:pStyle w:val="14"/>
              <w:bidi w:val="0"/>
              <w:rPr>
                <w:rFonts w:hint="default"/>
                <w:lang w:val="en-US" w:eastAsia="zh-CN"/>
              </w:rPr>
            </w:pPr>
            <w:r>
              <w:rPr>
                <w:rFonts w:hint="eastAsia"/>
                <w:lang w:val="en-US" w:eastAsia="zh-CN"/>
              </w:rPr>
              <w:t>2</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3" w:hRule="exact"/>
          <w:jc w:val="center"/>
        </w:trPr>
        <w:tc>
          <w:tcPr>
            <w:tcW w:w="316" w:type="pct"/>
            <w:vMerge w:val="restart"/>
            <w:shd w:val="clear" w:color="auto" w:fill="auto"/>
            <w:vAlign w:val="center"/>
          </w:tcPr>
          <w:p>
            <w:pPr>
              <w:pStyle w:val="14"/>
              <w:bidi w:val="0"/>
              <w:rPr>
                <w:rFonts w:hint="eastAsia" w:eastAsia="宋体"/>
                <w:lang w:val="en-US" w:eastAsia="zh-CN"/>
              </w:rPr>
            </w:pPr>
            <w:r>
              <w:rPr>
                <w:rFonts w:hint="eastAsia"/>
                <w:lang w:val="en-US" w:eastAsia="zh-CN"/>
              </w:rPr>
              <w:t>2</w:t>
            </w:r>
          </w:p>
        </w:tc>
        <w:tc>
          <w:tcPr>
            <w:tcW w:w="689" w:type="pct"/>
            <w:vMerge w:val="restart"/>
            <w:shd w:val="clear" w:color="auto" w:fill="auto"/>
            <w:vAlign w:val="center"/>
          </w:tcPr>
          <w:p>
            <w:pPr>
              <w:pStyle w:val="14"/>
              <w:bidi w:val="0"/>
              <w:rPr>
                <w:rFonts w:hint="eastAsia"/>
                <w:lang w:val="en-US" w:eastAsia="zh-CN"/>
              </w:rPr>
            </w:pPr>
            <w:r>
              <w:rPr>
                <w:rFonts w:hint="eastAsia"/>
                <w:lang w:val="en-US" w:eastAsia="zh-CN"/>
              </w:rPr>
              <w:t>竣工验收</w:t>
            </w:r>
          </w:p>
        </w:tc>
        <w:tc>
          <w:tcPr>
            <w:tcW w:w="3305" w:type="pct"/>
            <w:shd w:val="clear" w:color="auto" w:fill="auto"/>
            <w:vAlign w:val="center"/>
          </w:tcPr>
          <w:p>
            <w:pPr>
              <w:pStyle w:val="14"/>
              <w:bidi w:val="0"/>
              <w:ind w:firstLine="0" w:firstLineChars="0"/>
              <w:rPr>
                <w:rFonts w:hint="default" w:ascii="Times New Roman" w:hAnsi="Times New Roman" w:eastAsia="宋体" w:cstheme="minorBidi"/>
                <w:kern w:val="2"/>
                <w:sz w:val="21"/>
                <w:szCs w:val="24"/>
                <w:lang w:val="en-US" w:eastAsia="zh-CN" w:bidi="ar-SA"/>
              </w:rPr>
            </w:pPr>
            <w:r>
              <w:rPr>
                <w:rFonts w:hint="eastAsia"/>
                <w:lang w:val="en-US" w:eastAsia="zh-CN"/>
              </w:rPr>
              <w:t>1</w:t>
            </w:r>
            <w:r>
              <w:t>）对建成的大型涉水设施或水深超过0.7m且未设置隔离防护措施的雨水调蓄池等设施周围设置警示标志</w:t>
            </w:r>
          </w:p>
        </w:tc>
        <w:tc>
          <w:tcPr>
            <w:tcW w:w="343" w:type="pct"/>
            <w:shd w:val="clear" w:color="auto" w:fill="auto"/>
            <w:vAlign w:val="center"/>
          </w:tcPr>
          <w:p>
            <w:pPr>
              <w:pStyle w:val="14"/>
              <w:bidi w:val="0"/>
              <w:ind w:firstLine="0" w:firstLineChars="0"/>
              <w:rPr>
                <w:rFonts w:hint="eastAsia" w:ascii="Times New Roman" w:hAnsi="Times New Roman" w:eastAsia="宋体" w:cstheme="minorBidi"/>
                <w:kern w:val="2"/>
                <w:sz w:val="21"/>
                <w:szCs w:val="24"/>
                <w:lang w:val="en-US" w:eastAsia="zh-CN" w:bidi="ar-SA"/>
              </w:rPr>
            </w:pPr>
            <w:r>
              <w:rPr>
                <w:rFonts w:hint="eastAsia"/>
              </w:rPr>
              <w:t>3</w:t>
            </w:r>
          </w:p>
        </w:tc>
        <w:tc>
          <w:tcPr>
            <w:tcW w:w="345" w:type="pct"/>
            <w:vMerge w:val="restart"/>
            <w:shd w:val="clear" w:color="auto" w:fill="auto"/>
            <w:vAlign w:val="center"/>
          </w:tcPr>
          <w:p>
            <w:pPr>
              <w:pStyle w:val="14"/>
              <w:bidi w:val="0"/>
              <w:rPr>
                <w:rFonts w:hint="default"/>
                <w:lang w:val="en-US" w:eastAsia="zh-CN"/>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16" w:type="pct"/>
            <w:vMerge w:val="continue"/>
            <w:shd w:val="clear" w:color="auto" w:fill="auto"/>
            <w:vAlign w:val="center"/>
          </w:tcPr>
          <w:p>
            <w:pPr>
              <w:pStyle w:val="14"/>
              <w:bidi w:val="0"/>
              <w:rPr>
                <w:rFonts w:hint="eastAsia"/>
                <w:lang w:val="en-US" w:eastAsia="zh-CN"/>
              </w:rPr>
            </w:pPr>
          </w:p>
        </w:tc>
        <w:tc>
          <w:tcPr>
            <w:tcW w:w="689" w:type="pct"/>
            <w:vMerge w:val="continue"/>
            <w:shd w:val="clear" w:color="auto" w:fill="auto"/>
            <w:vAlign w:val="center"/>
          </w:tcPr>
          <w:p>
            <w:pPr>
              <w:pStyle w:val="14"/>
              <w:bidi w:val="0"/>
              <w:rPr>
                <w:rFonts w:hint="eastAsia"/>
                <w:lang w:val="en-US" w:eastAsia="zh-CN"/>
              </w:rPr>
            </w:pPr>
          </w:p>
        </w:tc>
        <w:tc>
          <w:tcPr>
            <w:tcW w:w="3305" w:type="pct"/>
            <w:shd w:val="clear" w:color="auto" w:fill="auto"/>
            <w:vAlign w:val="center"/>
          </w:tcPr>
          <w:p>
            <w:pPr>
              <w:pStyle w:val="14"/>
              <w:bidi w:val="0"/>
              <w:ind w:firstLine="0" w:firstLineChars="0"/>
              <w:rPr>
                <w:rFonts w:hint="eastAsia" w:ascii="Times New Roman" w:hAnsi="Times New Roman" w:eastAsia="宋体" w:cstheme="minorBidi"/>
                <w:kern w:val="2"/>
                <w:sz w:val="21"/>
                <w:szCs w:val="24"/>
                <w:lang w:val="en-US" w:eastAsia="zh-CN" w:bidi="ar-SA"/>
              </w:rPr>
            </w:pPr>
            <w:r>
              <w:rPr>
                <w:rFonts w:hint="eastAsia"/>
                <w:lang w:val="en-US" w:eastAsia="zh-CN"/>
              </w:rPr>
              <w:t>2</w:t>
            </w:r>
            <w:r>
              <w:t>）</w:t>
            </w:r>
            <w:r>
              <w:rPr>
                <w:rFonts w:hint="eastAsia"/>
              </w:rPr>
              <w:t>对建成的海绵城市设施进行现场复核</w:t>
            </w:r>
          </w:p>
        </w:tc>
        <w:tc>
          <w:tcPr>
            <w:tcW w:w="343" w:type="pct"/>
            <w:shd w:val="clear" w:color="auto" w:fill="auto"/>
            <w:vAlign w:val="center"/>
          </w:tcPr>
          <w:p>
            <w:pPr>
              <w:pStyle w:val="14"/>
              <w:bidi w:val="0"/>
              <w:ind w:firstLine="0" w:firstLineChars="0"/>
              <w:rPr>
                <w:rFonts w:hint="eastAsia" w:ascii="Times New Roman" w:hAnsi="Times New Roman" w:eastAsia="宋体" w:cstheme="minorBidi"/>
                <w:kern w:val="2"/>
                <w:sz w:val="21"/>
                <w:szCs w:val="24"/>
                <w:lang w:val="en-US" w:eastAsia="zh-CN" w:bidi="ar-SA"/>
              </w:rPr>
            </w:pPr>
            <w:r>
              <w:rPr>
                <w:rFonts w:hint="eastAsia"/>
              </w:rPr>
              <w:t>3</w:t>
            </w:r>
          </w:p>
        </w:tc>
        <w:tc>
          <w:tcPr>
            <w:tcW w:w="345" w:type="pct"/>
            <w:vMerge w:val="continue"/>
            <w:shd w:val="clear" w:color="auto" w:fill="auto"/>
            <w:vAlign w:val="center"/>
          </w:tcPr>
          <w:p>
            <w:pPr>
              <w:pStyle w:val="14"/>
              <w:bidi w:val="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ind w:firstLine="0" w:firstLineChars="0"/>
              <w:rPr>
                <w:rFonts w:ascii="Times New Roman" w:hAnsi="Times New Roman" w:eastAsia="宋体" w:cstheme="minorBidi"/>
                <w:kern w:val="2"/>
                <w:sz w:val="21"/>
                <w:szCs w:val="24"/>
                <w:lang w:val="en-US" w:eastAsia="zh-CN" w:bidi="ar-SA"/>
              </w:rPr>
            </w:pPr>
            <w:r>
              <w:rPr>
                <w:rFonts w:hint="eastAsia"/>
                <w:lang w:val="en-US" w:eastAsia="zh-CN"/>
              </w:rPr>
              <w:t>3</w:t>
            </w:r>
            <w:r>
              <w:t>）对建成的溢流、清淤立管及观察孔设施做注水试验</w:t>
            </w:r>
          </w:p>
        </w:tc>
        <w:tc>
          <w:tcPr>
            <w:tcW w:w="343" w:type="pct"/>
            <w:shd w:val="clear" w:color="auto" w:fill="auto"/>
            <w:vAlign w:val="center"/>
          </w:tcPr>
          <w:p>
            <w:pPr>
              <w:pStyle w:val="14"/>
              <w:bidi w:val="0"/>
              <w:ind w:firstLine="0" w:firstLineChars="0"/>
              <w:rPr>
                <w:rFonts w:hint="eastAsia" w:ascii="Times New Roman" w:hAnsi="Times New Roman" w:eastAsia="宋体" w:cstheme="minorBidi"/>
                <w:kern w:val="2"/>
                <w:sz w:val="21"/>
                <w:szCs w:val="24"/>
                <w:lang w:val="en-US" w:eastAsia="zh-CN" w:bidi="ar-SA"/>
              </w:rPr>
            </w:pPr>
            <w:r>
              <w:rPr>
                <w:rFonts w:hint="eastAsia"/>
                <w:lang w:val="en-US" w:eastAsia="zh-CN"/>
              </w:rPr>
              <w:t>2</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16"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305" w:type="pct"/>
            <w:shd w:val="clear" w:color="auto" w:fill="auto"/>
            <w:vAlign w:val="center"/>
          </w:tcPr>
          <w:p>
            <w:pPr>
              <w:pStyle w:val="14"/>
              <w:bidi w:val="0"/>
              <w:ind w:firstLine="0" w:firstLineChars="0"/>
              <w:rPr>
                <w:rFonts w:ascii="Times New Roman" w:hAnsi="Times New Roman" w:eastAsia="宋体" w:cstheme="minorBidi"/>
                <w:kern w:val="2"/>
                <w:sz w:val="21"/>
                <w:szCs w:val="24"/>
                <w:lang w:val="en-US" w:eastAsia="zh-CN" w:bidi="ar-SA"/>
              </w:rPr>
            </w:pPr>
            <w:r>
              <w:rPr>
                <w:rFonts w:hint="eastAsia"/>
                <w:lang w:val="en-US" w:eastAsia="zh-CN"/>
              </w:rPr>
              <w:t>4</w:t>
            </w:r>
            <w:r>
              <w:t>）对建成的透水铺装等渗透型设施做透水系数测试</w:t>
            </w:r>
          </w:p>
        </w:tc>
        <w:tc>
          <w:tcPr>
            <w:tcW w:w="343" w:type="pct"/>
            <w:shd w:val="clear" w:color="auto" w:fill="auto"/>
            <w:vAlign w:val="center"/>
          </w:tcPr>
          <w:p>
            <w:pPr>
              <w:pStyle w:val="14"/>
              <w:bidi w:val="0"/>
              <w:ind w:firstLine="0" w:firstLineChars="0"/>
              <w:rPr>
                <w:rFonts w:hint="eastAsia" w:ascii="Times New Roman" w:hAnsi="Times New Roman" w:eastAsia="宋体" w:cstheme="minorBidi"/>
                <w:kern w:val="2"/>
                <w:sz w:val="21"/>
                <w:szCs w:val="24"/>
                <w:lang w:val="en-US" w:eastAsia="zh-CN" w:bidi="ar-SA"/>
              </w:rPr>
            </w:pPr>
            <w:r>
              <w:rPr>
                <w:rFonts w:hint="eastAsia"/>
                <w:lang w:val="en-US" w:eastAsia="zh-CN"/>
              </w:rPr>
              <w:t>2</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16" w:type="pct"/>
            <w:vMerge w:val="restart"/>
            <w:shd w:val="clear" w:color="auto" w:fill="auto"/>
            <w:vAlign w:val="center"/>
          </w:tcPr>
          <w:p>
            <w:pPr>
              <w:pStyle w:val="14"/>
              <w:bidi w:val="0"/>
            </w:pPr>
            <w:r>
              <w:rPr>
                <w:rFonts w:hint="eastAsia"/>
              </w:rPr>
              <w:t>3</w:t>
            </w:r>
          </w:p>
        </w:tc>
        <w:tc>
          <w:tcPr>
            <w:tcW w:w="689" w:type="pct"/>
            <w:vMerge w:val="restart"/>
            <w:shd w:val="clear" w:color="auto" w:fill="auto"/>
            <w:vAlign w:val="center"/>
          </w:tcPr>
          <w:p>
            <w:pPr>
              <w:pStyle w:val="14"/>
              <w:bidi w:val="0"/>
            </w:pPr>
            <w:r>
              <w:rPr>
                <w:rFonts w:hint="eastAsia"/>
              </w:rPr>
              <w:t>建设档案</w:t>
            </w:r>
          </w:p>
        </w:tc>
        <w:tc>
          <w:tcPr>
            <w:tcW w:w="3305" w:type="pct"/>
            <w:shd w:val="clear" w:color="auto" w:fill="auto"/>
            <w:vAlign w:val="center"/>
          </w:tcPr>
          <w:p>
            <w:pPr>
              <w:pStyle w:val="14"/>
              <w:bidi w:val="0"/>
            </w:pPr>
            <w:r>
              <w:t>1）施工单位根据国家竣工文件编制的规定，编制海绵城市建设项目施工总结报告，连同竣工图表，形成完整的施工资料档案</w:t>
            </w:r>
          </w:p>
        </w:tc>
        <w:tc>
          <w:tcPr>
            <w:tcW w:w="343" w:type="pct"/>
            <w:shd w:val="clear" w:color="auto" w:fill="auto"/>
            <w:vAlign w:val="center"/>
          </w:tcPr>
          <w:p>
            <w:pPr>
              <w:pStyle w:val="14"/>
              <w:bidi w:val="0"/>
            </w:pPr>
            <w:r>
              <w:rPr>
                <w:rFonts w:hint="eastAsia"/>
              </w:rPr>
              <w:t>3</w:t>
            </w:r>
          </w:p>
        </w:tc>
        <w:tc>
          <w:tcPr>
            <w:tcW w:w="345" w:type="pct"/>
            <w:vMerge w:val="restart"/>
            <w:shd w:val="clear" w:color="auto" w:fill="auto"/>
            <w:vAlign w:val="center"/>
          </w:tcPr>
          <w:p>
            <w:pPr>
              <w:pStyle w:val="14"/>
              <w:bidi w:val="0"/>
              <w:rPr>
                <w:rFonts w:hint="default" w:eastAsia="宋体"/>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16" w:type="pct"/>
            <w:vMerge w:val="continue"/>
            <w:shd w:val="clear" w:color="auto" w:fill="auto"/>
            <w:vAlign w:val="center"/>
          </w:tcPr>
          <w:p>
            <w:pPr>
              <w:pStyle w:val="14"/>
              <w:bidi w:val="0"/>
              <w:rPr>
                <w:rFonts w:hint="eastAsia"/>
              </w:rPr>
            </w:pPr>
          </w:p>
        </w:tc>
        <w:tc>
          <w:tcPr>
            <w:tcW w:w="689" w:type="pct"/>
            <w:vMerge w:val="continue"/>
            <w:shd w:val="clear" w:color="auto" w:fill="auto"/>
            <w:vAlign w:val="center"/>
          </w:tcPr>
          <w:p>
            <w:pPr>
              <w:pStyle w:val="14"/>
              <w:bidi w:val="0"/>
              <w:rPr>
                <w:rFonts w:hint="eastAsia"/>
              </w:rPr>
            </w:pPr>
          </w:p>
        </w:tc>
        <w:tc>
          <w:tcPr>
            <w:tcW w:w="3305" w:type="pct"/>
            <w:shd w:val="clear" w:color="auto" w:fill="auto"/>
            <w:vAlign w:val="center"/>
          </w:tcPr>
          <w:p>
            <w:pPr>
              <w:pStyle w:val="14"/>
              <w:bidi w:val="0"/>
            </w:pPr>
            <w:r>
              <w:t>2）建设单位将海绵城市建设项目有关设计、施工及验收的文件立卷归档，建立完整项目档案</w:t>
            </w:r>
          </w:p>
        </w:tc>
        <w:tc>
          <w:tcPr>
            <w:tcW w:w="343" w:type="pct"/>
            <w:shd w:val="clear" w:color="auto" w:fill="auto"/>
            <w:vAlign w:val="center"/>
          </w:tcPr>
          <w:p>
            <w:pPr>
              <w:pStyle w:val="14"/>
              <w:bidi w:val="0"/>
              <w:rPr>
                <w:rFonts w:hint="eastAsia" w:eastAsia="宋体"/>
                <w:lang w:val="en-US" w:eastAsia="zh-CN"/>
              </w:rPr>
            </w:pPr>
            <w:r>
              <w:rPr>
                <w:rFonts w:hint="eastAsia"/>
                <w:lang w:val="en-US" w:eastAsia="zh-CN"/>
              </w:rPr>
              <w:t>2</w:t>
            </w:r>
          </w:p>
        </w:tc>
        <w:tc>
          <w:tcPr>
            <w:tcW w:w="345" w:type="pct"/>
            <w:vMerge w:val="continue"/>
            <w:shd w:val="clear" w:color="auto" w:fill="auto"/>
            <w:vAlign w:val="center"/>
          </w:tcPr>
          <w:p>
            <w:pPr>
              <w:pStyle w:val="14"/>
              <w:bidi w:val="0"/>
              <w:rPr>
                <w:rFonts w:hint="eastAsia"/>
              </w:rPr>
            </w:pPr>
          </w:p>
        </w:tc>
      </w:tr>
    </w:tbl>
    <w:p>
      <w:r>
        <w:rPr>
          <w:rFonts w:hint="eastAsia"/>
        </w:rPr>
        <w:br w:type="page"/>
      </w:r>
    </w:p>
    <w:p>
      <w:pPr>
        <w:pStyle w:val="13"/>
      </w:pPr>
      <w:r>
        <w:rPr>
          <w:rFonts w:hint="eastAsia"/>
        </w:rPr>
        <w:t>Ⅱ项目质量合格性评价（20分）</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78"/>
        <w:gridCol w:w="992"/>
        <w:gridCol w:w="5670"/>
        <w:gridCol w:w="568"/>
        <w:gridCol w:w="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47" w:type="pct"/>
            <w:vMerge w:val="restart"/>
            <w:shd w:val="clear" w:color="auto" w:fill="auto"/>
            <w:vAlign w:val="center"/>
          </w:tcPr>
          <w:p>
            <w:pPr>
              <w:pStyle w:val="14"/>
              <w:bidi w:val="0"/>
            </w:pPr>
            <w:r>
              <w:t>序号</w:t>
            </w:r>
          </w:p>
        </w:tc>
        <w:tc>
          <w:tcPr>
            <w:tcW w:w="4001" w:type="pct"/>
            <w:gridSpan w:val="2"/>
            <w:vMerge w:val="restart"/>
            <w:vAlign w:val="center"/>
          </w:tcPr>
          <w:p>
            <w:pPr>
              <w:pStyle w:val="14"/>
              <w:bidi w:val="0"/>
            </w:pPr>
            <w:r>
              <w:t>评价标准</w:t>
            </w:r>
          </w:p>
        </w:tc>
        <w:tc>
          <w:tcPr>
            <w:tcW w:w="652" w:type="pct"/>
            <w:gridSpan w:val="2"/>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9" w:hRule="exact"/>
          <w:tblHeader/>
          <w:jc w:val="center"/>
        </w:trPr>
        <w:tc>
          <w:tcPr>
            <w:tcW w:w="347" w:type="pct"/>
            <w:vMerge w:val="continue"/>
            <w:shd w:val="clear" w:color="auto" w:fill="auto"/>
            <w:vAlign w:val="center"/>
          </w:tcPr>
          <w:p>
            <w:pPr>
              <w:pStyle w:val="14"/>
              <w:bidi w:val="0"/>
            </w:pPr>
          </w:p>
        </w:tc>
        <w:tc>
          <w:tcPr>
            <w:tcW w:w="4001" w:type="pct"/>
            <w:gridSpan w:val="2"/>
            <w:vMerge w:val="continue"/>
          </w:tcPr>
          <w:p>
            <w:pPr>
              <w:pStyle w:val="14"/>
              <w:bidi w:val="0"/>
            </w:pPr>
          </w:p>
        </w:tc>
        <w:tc>
          <w:tcPr>
            <w:tcW w:w="341" w:type="pct"/>
            <w:shd w:val="clear" w:color="auto" w:fill="auto"/>
            <w:vAlign w:val="center"/>
          </w:tcPr>
          <w:p>
            <w:pPr>
              <w:pStyle w:val="14"/>
              <w:bidi w:val="0"/>
            </w:pPr>
            <w:r>
              <w:t>评分</w:t>
            </w:r>
          </w:p>
        </w:tc>
        <w:tc>
          <w:tcPr>
            <w:tcW w:w="311" w:type="pct"/>
            <w:shd w:val="clear" w:color="auto" w:fill="auto"/>
            <w:vAlign w:val="center"/>
          </w:tcPr>
          <w:p>
            <w:pPr>
              <w:pStyle w:val="14"/>
              <w:bidi w:val="0"/>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47" w:type="pct"/>
            <w:shd w:val="clear" w:color="auto" w:fill="auto"/>
            <w:vAlign w:val="center"/>
          </w:tcPr>
          <w:p>
            <w:pPr>
              <w:pStyle w:val="14"/>
              <w:bidi w:val="0"/>
            </w:pPr>
            <w:r>
              <w:rPr>
                <w:rFonts w:hint="eastAsia"/>
              </w:rPr>
              <w:t>4</w:t>
            </w:r>
          </w:p>
        </w:tc>
        <w:tc>
          <w:tcPr>
            <w:tcW w:w="596" w:type="pct"/>
            <w:vAlign w:val="center"/>
          </w:tcPr>
          <w:p>
            <w:pPr>
              <w:pStyle w:val="14"/>
              <w:bidi w:val="0"/>
            </w:pPr>
            <w:r>
              <w:t>场地竖向</w:t>
            </w:r>
          </w:p>
        </w:tc>
        <w:tc>
          <w:tcPr>
            <w:tcW w:w="3405" w:type="pct"/>
            <w:shd w:val="clear" w:color="auto" w:fill="auto"/>
            <w:vAlign w:val="center"/>
          </w:tcPr>
          <w:p>
            <w:pPr>
              <w:pStyle w:val="14"/>
              <w:bidi w:val="0"/>
            </w:pPr>
            <w:r>
              <w:t>场地竖向高程与设计保持一致，无沉降</w:t>
            </w:r>
          </w:p>
        </w:tc>
        <w:tc>
          <w:tcPr>
            <w:tcW w:w="341" w:type="pct"/>
            <w:shd w:val="clear" w:color="auto" w:fill="auto"/>
            <w:vAlign w:val="center"/>
          </w:tcPr>
          <w:p>
            <w:pPr>
              <w:pStyle w:val="14"/>
              <w:bidi w:val="0"/>
            </w:pPr>
            <w:r>
              <w:t>10</w:t>
            </w:r>
          </w:p>
        </w:tc>
        <w:tc>
          <w:tcPr>
            <w:tcW w:w="311" w:type="pct"/>
            <w:shd w:val="clear" w:color="auto" w:fill="auto"/>
            <w:vAlign w:val="center"/>
          </w:tcPr>
          <w:p>
            <w:pPr>
              <w:pStyle w:val="14"/>
              <w:bidi w:val="0"/>
            </w:pPr>
            <w: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47" w:type="pct"/>
            <w:shd w:val="clear" w:color="auto" w:fill="auto"/>
            <w:vAlign w:val="center"/>
          </w:tcPr>
          <w:p>
            <w:pPr>
              <w:pStyle w:val="14"/>
              <w:bidi w:val="0"/>
            </w:pPr>
            <w:r>
              <w:rPr>
                <w:rFonts w:hint="eastAsia"/>
              </w:rPr>
              <w:t>5</w:t>
            </w:r>
          </w:p>
        </w:tc>
        <w:tc>
          <w:tcPr>
            <w:tcW w:w="596" w:type="pct"/>
            <w:vAlign w:val="center"/>
          </w:tcPr>
          <w:p>
            <w:pPr>
              <w:pStyle w:val="14"/>
              <w:bidi w:val="0"/>
              <w:rPr>
                <w:rFonts w:hint="eastAsia"/>
                <w:lang w:eastAsia="zh-CN"/>
              </w:rPr>
            </w:pPr>
            <w:r>
              <w:rPr>
                <w:rFonts w:hint="eastAsia"/>
                <w:lang w:eastAsia="zh-CN"/>
              </w:rPr>
              <w:t>海绵城市设施</w:t>
            </w:r>
          </w:p>
        </w:tc>
        <w:tc>
          <w:tcPr>
            <w:tcW w:w="3405" w:type="pct"/>
            <w:shd w:val="clear" w:color="auto" w:fill="auto"/>
            <w:vAlign w:val="center"/>
          </w:tcPr>
          <w:p>
            <w:pPr>
              <w:pStyle w:val="14"/>
              <w:bidi w:val="0"/>
            </w:pPr>
            <w:r>
              <w:rPr>
                <w:rFonts w:hint="eastAsia"/>
                <w:lang w:eastAsia="zh-CN"/>
              </w:rPr>
              <w:t>海绵城市设施</w:t>
            </w:r>
            <w:r>
              <w:t>照图施工，质量应符合《给水排水管道工程施工及验收规范》GB50268、《给水排水构筑物工程施工及验收规范》GB50141等现行国家标准的规定</w:t>
            </w:r>
          </w:p>
        </w:tc>
        <w:tc>
          <w:tcPr>
            <w:tcW w:w="341" w:type="pct"/>
            <w:shd w:val="clear" w:color="auto" w:fill="auto"/>
            <w:vAlign w:val="center"/>
          </w:tcPr>
          <w:p>
            <w:pPr>
              <w:pStyle w:val="14"/>
              <w:bidi w:val="0"/>
            </w:pPr>
            <w:r>
              <w:rPr>
                <w:rFonts w:hint="eastAsia"/>
              </w:rPr>
              <w:t>5</w:t>
            </w:r>
          </w:p>
        </w:tc>
        <w:tc>
          <w:tcPr>
            <w:tcW w:w="311" w:type="pct"/>
            <w:shd w:val="clear" w:color="auto" w:fill="auto"/>
            <w:vAlign w:val="center"/>
          </w:tcPr>
          <w:p>
            <w:pPr>
              <w:pStyle w:val="14"/>
              <w:bidi w:val="0"/>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47" w:type="pct"/>
            <w:shd w:val="clear" w:color="auto" w:fill="auto"/>
            <w:vAlign w:val="center"/>
          </w:tcPr>
          <w:p>
            <w:pPr>
              <w:pStyle w:val="14"/>
              <w:bidi w:val="0"/>
            </w:pPr>
            <w:r>
              <w:rPr>
                <w:rFonts w:hint="eastAsia"/>
              </w:rPr>
              <w:t>6</w:t>
            </w:r>
          </w:p>
        </w:tc>
        <w:tc>
          <w:tcPr>
            <w:tcW w:w="596" w:type="pct"/>
            <w:vAlign w:val="center"/>
          </w:tcPr>
          <w:p>
            <w:pPr>
              <w:pStyle w:val="14"/>
              <w:bidi w:val="0"/>
            </w:pPr>
            <w:r>
              <w:t>监测设备</w:t>
            </w:r>
          </w:p>
        </w:tc>
        <w:tc>
          <w:tcPr>
            <w:tcW w:w="3405" w:type="pct"/>
            <w:shd w:val="clear" w:color="auto" w:fill="auto"/>
            <w:vAlign w:val="center"/>
          </w:tcPr>
          <w:p>
            <w:pPr>
              <w:pStyle w:val="14"/>
              <w:bidi w:val="0"/>
            </w:pPr>
            <w:r>
              <w:t>监测设备的施工符合《建筑电气工程施工质量验收规范》GB50303的规定</w:t>
            </w:r>
          </w:p>
        </w:tc>
        <w:tc>
          <w:tcPr>
            <w:tcW w:w="341" w:type="pct"/>
            <w:shd w:val="clear" w:color="auto" w:fill="auto"/>
            <w:vAlign w:val="center"/>
          </w:tcPr>
          <w:p>
            <w:pPr>
              <w:pStyle w:val="14"/>
              <w:bidi w:val="0"/>
            </w:pPr>
            <w:r>
              <w:t>5</w:t>
            </w:r>
          </w:p>
        </w:tc>
        <w:tc>
          <w:tcPr>
            <w:tcW w:w="311" w:type="pct"/>
            <w:shd w:val="clear" w:color="auto" w:fill="auto"/>
            <w:vAlign w:val="center"/>
          </w:tcPr>
          <w:p>
            <w:pPr>
              <w:pStyle w:val="14"/>
              <w:bidi w:val="0"/>
            </w:pPr>
            <w:r>
              <w:t>5</w:t>
            </w:r>
          </w:p>
        </w:tc>
      </w:tr>
    </w:tbl>
    <w:p>
      <w:r>
        <w:rPr>
          <w:rFonts w:hint="eastAsia"/>
        </w:rPr>
        <w:br w:type="page"/>
      </w:r>
    </w:p>
    <w:p>
      <w:pPr>
        <w:pStyle w:val="13"/>
      </w:pPr>
      <w:r>
        <w:rPr>
          <w:rFonts w:hint="eastAsia"/>
        </w:rPr>
        <w:t>Ⅲ技术措施环保性评价（20分）</w:t>
      </w:r>
    </w:p>
    <w:tbl>
      <w:tblPr>
        <w:tblStyle w:val="6"/>
        <w:tblW w:w="4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42"/>
        <w:gridCol w:w="1132"/>
        <w:gridCol w:w="5408"/>
        <w:gridCol w:w="56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30" w:type="pct"/>
            <w:vMerge w:val="restart"/>
            <w:shd w:val="clear" w:color="auto" w:fill="auto"/>
            <w:vAlign w:val="center"/>
          </w:tcPr>
          <w:p>
            <w:pPr>
              <w:pStyle w:val="14"/>
              <w:bidi w:val="0"/>
            </w:pPr>
            <w:r>
              <w:t>序号</w:t>
            </w:r>
          </w:p>
        </w:tc>
        <w:tc>
          <w:tcPr>
            <w:tcW w:w="3980" w:type="pct"/>
            <w:gridSpan w:val="2"/>
            <w:vMerge w:val="restart"/>
            <w:shd w:val="clear" w:color="auto" w:fill="auto"/>
            <w:vAlign w:val="center"/>
          </w:tcPr>
          <w:p>
            <w:pPr>
              <w:pStyle w:val="14"/>
              <w:bidi w:val="0"/>
            </w:pPr>
            <w:r>
              <w:t>评价标准</w:t>
            </w:r>
          </w:p>
        </w:tc>
        <w:tc>
          <w:tcPr>
            <w:tcW w:w="688" w:type="pct"/>
            <w:gridSpan w:val="2"/>
            <w:shd w:val="clear" w:color="auto" w:fill="auto"/>
            <w:vAlign w:val="center"/>
          </w:tcPr>
          <w:p>
            <w:pPr>
              <w:pStyle w:val="14"/>
              <w:bidi w:val="0"/>
            </w:pPr>
            <w: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330" w:type="pct"/>
            <w:vMerge w:val="continue"/>
            <w:shd w:val="clear" w:color="auto" w:fill="auto"/>
            <w:vAlign w:val="center"/>
          </w:tcPr>
          <w:p>
            <w:pPr>
              <w:pStyle w:val="14"/>
              <w:bidi w:val="0"/>
            </w:pPr>
          </w:p>
        </w:tc>
        <w:tc>
          <w:tcPr>
            <w:tcW w:w="3980" w:type="pct"/>
            <w:gridSpan w:val="2"/>
            <w:vMerge w:val="continue"/>
            <w:shd w:val="clear" w:color="auto" w:fill="auto"/>
            <w:vAlign w:val="center"/>
          </w:tcPr>
          <w:p>
            <w:pPr>
              <w:pStyle w:val="14"/>
              <w:bidi w:val="0"/>
            </w:pPr>
          </w:p>
        </w:tc>
        <w:tc>
          <w:tcPr>
            <w:tcW w:w="343" w:type="pct"/>
            <w:shd w:val="clear" w:color="auto" w:fill="auto"/>
            <w:vAlign w:val="center"/>
          </w:tcPr>
          <w:p>
            <w:pPr>
              <w:pStyle w:val="14"/>
              <w:bidi w:val="0"/>
            </w:pPr>
            <w:r>
              <w:t>评分</w:t>
            </w:r>
          </w:p>
        </w:tc>
        <w:tc>
          <w:tcPr>
            <w:tcW w:w="345" w:type="pct"/>
            <w:shd w:val="clear" w:color="auto" w:fill="auto"/>
            <w:vAlign w:val="center"/>
          </w:tcPr>
          <w:p>
            <w:pPr>
              <w:pStyle w:val="14"/>
              <w:bidi w:val="0"/>
            </w:pPr>
            <w: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0" w:type="pct"/>
            <w:vMerge w:val="restart"/>
            <w:shd w:val="clear" w:color="auto" w:fill="auto"/>
            <w:vAlign w:val="center"/>
          </w:tcPr>
          <w:p>
            <w:pPr>
              <w:pStyle w:val="14"/>
              <w:bidi w:val="0"/>
            </w:pPr>
            <w:r>
              <w:rPr>
                <w:rFonts w:hint="eastAsia"/>
              </w:rPr>
              <w:t>7</w:t>
            </w:r>
          </w:p>
        </w:tc>
        <w:tc>
          <w:tcPr>
            <w:tcW w:w="689" w:type="pct"/>
            <w:vMerge w:val="restart"/>
            <w:shd w:val="clear" w:color="auto" w:fill="auto"/>
            <w:vAlign w:val="center"/>
          </w:tcPr>
          <w:p>
            <w:pPr>
              <w:pStyle w:val="14"/>
              <w:bidi w:val="0"/>
            </w:pPr>
            <w:r>
              <w:rPr>
                <w:rFonts w:hint="eastAsia"/>
              </w:rPr>
              <w:t>绿色施工</w:t>
            </w:r>
          </w:p>
        </w:tc>
        <w:tc>
          <w:tcPr>
            <w:tcW w:w="3291" w:type="pct"/>
            <w:shd w:val="clear" w:color="auto" w:fill="auto"/>
            <w:vAlign w:val="center"/>
          </w:tcPr>
          <w:p>
            <w:pPr>
              <w:pStyle w:val="14"/>
              <w:bidi w:val="0"/>
            </w:pPr>
            <w:r>
              <w:t>1）施工组织中，独立成章编制海绵城市建设项目的绿色施工方案</w:t>
            </w:r>
          </w:p>
        </w:tc>
        <w:tc>
          <w:tcPr>
            <w:tcW w:w="343" w:type="pct"/>
            <w:shd w:val="clear" w:color="auto" w:fill="auto"/>
            <w:vAlign w:val="center"/>
          </w:tcPr>
          <w:p>
            <w:pPr>
              <w:pStyle w:val="14"/>
              <w:bidi w:val="0"/>
            </w:pPr>
            <w:r>
              <w:rPr>
                <w:rFonts w:hint="eastAsia"/>
              </w:rPr>
              <w:t>5</w:t>
            </w:r>
          </w:p>
        </w:tc>
        <w:tc>
          <w:tcPr>
            <w:tcW w:w="345" w:type="pct"/>
            <w:vMerge w:val="restart"/>
            <w:shd w:val="clear" w:color="auto" w:fill="auto"/>
            <w:vAlign w:val="center"/>
          </w:tcPr>
          <w:p>
            <w:pPr>
              <w:pStyle w:val="14"/>
              <w:bidi w:val="0"/>
            </w:pPr>
            <w:r>
              <w:t>1</w:t>
            </w: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0"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291" w:type="pct"/>
            <w:shd w:val="clear" w:color="auto" w:fill="auto"/>
            <w:vAlign w:val="center"/>
          </w:tcPr>
          <w:p>
            <w:pPr>
              <w:pStyle w:val="14"/>
              <w:bidi w:val="0"/>
            </w:pPr>
            <w:r>
              <w:t>2）建筑垃圾回用于地基填埋、透水地面铺设等，碎石类、土石方类建筑垃圾再利用率不低于</w:t>
            </w:r>
            <w:r>
              <w:rPr>
                <w:rFonts w:hint="eastAsia"/>
              </w:rPr>
              <w:t>2</w:t>
            </w:r>
            <w:r>
              <w:t>0%</w:t>
            </w:r>
          </w:p>
        </w:tc>
        <w:tc>
          <w:tcPr>
            <w:tcW w:w="343" w:type="pct"/>
            <w:shd w:val="clear" w:color="auto" w:fill="auto"/>
            <w:vAlign w:val="center"/>
          </w:tcPr>
          <w:p>
            <w:pPr>
              <w:pStyle w:val="14"/>
              <w:bidi w:val="0"/>
            </w:pPr>
            <w:r>
              <w:rPr>
                <w:rFonts w:hint="eastAsia"/>
              </w:rPr>
              <w:t>5</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0"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291" w:type="pct"/>
            <w:shd w:val="clear" w:color="auto" w:fill="auto"/>
            <w:vAlign w:val="center"/>
          </w:tcPr>
          <w:p>
            <w:pPr>
              <w:pStyle w:val="14"/>
              <w:bidi w:val="0"/>
            </w:pPr>
            <w:r>
              <w:rPr>
                <w:rFonts w:hint="eastAsia"/>
              </w:rPr>
              <w:t>3</w:t>
            </w:r>
            <w:r>
              <w:t>）结合项目永久绿化的要求，安排施工场地绿化</w:t>
            </w:r>
          </w:p>
        </w:tc>
        <w:tc>
          <w:tcPr>
            <w:tcW w:w="343" w:type="pct"/>
            <w:shd w:val="clear" w:color="auto" w:fill="auto"/>
            <w:vAlign w:val="center"/>
          </w:tcPr>
          <w:p>
            <w:pPr>
              <w:pStyle w:val="14"/>
              <w:bidi w:val="0"/>
            </w:pPr>
            <w:r>
              <w:rPr>
                <w:rFonts w:hint="eastAsia"/>
              </w:rPr>
              <w:t>3</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330" w:type="pct"/>
            <w:vMerge w:val="continue"/>
            <w:shd w:val="clear" w:color="auto" w:fill="auto"/>
            <w:vAlign w:val="center"/>
          </w:tcPr>
          <w:p>
            <w:pPr>
              <w:pStyle w:val="14"/>
              <w:bidi w:val="0"/>
            </w:pPr>
          </w:p>
        </w:tc>
        <w:tc>
          <w:tcPr>
            <w:tcW w:w="689" w:type="pct"/>
            <w:vMerge w:val="continue"/>
            <w:shd w:val="clear" w:color="auto" w:fill="auto"/>
            <w:vAlign w:val="center"/>
          </w:tcPr>
          <w:p>
            <w:pPr>
              <w:pStyle w:val="14"/>
              <w:bidi w:val="0"/>
            </w:pPr>
          </w:p>
        </w:tc>
        <w:tc>
          <w:tcPr>
            <w:tcW w:w="3291" w:type="pct"/>
            <w:shd w:val="clear" w:color="auto" w:fill="auto"/>
            <w:vAlign w:val="center"/>
          </w:tcPr>
          <w:p>
            <w:pPr>
              <w:pStyle w:val="14"/>
              <w:bidi w:val="0"/>
            </w:pPr>
            <w:r>
              <w:rPr>
                <w:rFonts w:hint="eastAsia"/>
              </w:rPr>
              <w:t>4）采用洒水、覆盖、遮挡等降尘措施</w:t>
            </w:r>
          </w:p>
        </w:tc>
        <w:tc>
          <w:tcPr>
            <w:tcW w:w="343" w:type="pct"/>
            <w:shd w:val="clear" w:color="auto" w:fill="auto"/>
            <w:vAlign w:val="center"/>
          </w:tcPr>
          <w:p>
            <w:pPr>
              <w:pStyle w:val="14"/>
              <w:bidi w:val="0"/>
            </w:pPr>
            <w:r>
              <w:rPr>
                <w:rFonts w:hint="eastAsia"/>
              </w:rPr>
              <w:t>2</w:t>
            </w:r>
          </w:p>
        </w:tc>
        <w:tc>
          <w:tcPr>
            <w:tcW w:w="345" w:type="pct"/>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330" w:type="pct"/>
            <w:shd w:val="clear" w:color="auto" w:fill="auto"/>
            <w:vAlign w:val="center"/>
          </w:tcPr>
          <w:p>
            <w:pPr>
              <w:pStyle w:val="14"/>
              <w:bidi w:val="0"/>
            </w:pPr>
            <w:r>
              <w:rPr>
                <w:rFonts w:hint="eastAsia"/>
              </w:rPr>
              <w:t>8</w:t>
            </w:r>
          </w:p>
        </w:tc>
        <w:tc>
          <w:tcPr>
            <w:tcW w:w="689" w:type="pct"/>
            <w:shd w:val="clear" w:color="auto" w:fill="auto"/>
            <w:vAlign w:val="center"/>
          </w:tcPr>
          <w:p>
            <w:pPr>
              <w:pStyle w:val="14"/>
              <w:bidi w:val="0"/>
            </w:pPr>
            <w:r>
              <w:rPr>
                <w:rFonts w:hint="eastAsia"/>
              </w:rPr>
              <w:t>安全生产</w:t>
            </w:r>
          </w:p>
        </w:tc>
        <w:tc>
          <w:tcPr>
            <w:tcW w:w="3291" w:type="pct"/>
            <w:shd w:val="clear" w:color="auto" w:fill="auto"/>
            <w:vAlign w:val="center"/>
          </w:tcPr>
          <w:p>
            <w:pPr>
              <w:pStyle w:val="14"/>
              <w:bidi w:val="0"/>
            </w:pPr>
            <w:r>
              <w:t>工程建设应满足生产安全、消防安全和安全保卫的要求，并应建立相应的管理制度，雨水调蓄工程现场应设置安全防护设施</w:t>
            </w:r>
          </w:p>
        </w:tc>
        <w:tc>
          <w:tcPr>
            <w:tcW w:w="343" w:type="pct"/>
            <w:shd w:val="clear" w:color="auto" w:fill="auto"/>
            <w:vAlign w:val="center"/>
          </w:tcPr>
          <w:p>
            <w:pPr>
              <w:pStyle w:val="14"/>
              <w:bidi w:val="0"/>
            </w:pPr>
            <w:r>
              <w:rPr>
                <w:rFonts w:hint="eastAsia"/>
              </w:rPr>
              <w:t>5</w:t>
            </w:r>
          </w:p>
        </w:tc>
        <w:tc>
          <w:tcPr>
            <w:tcW w:w="345" w:type="pct"/>
            <w:shd w:val="clear" w:color="auto" w:fill="auto"/>
            <w:vAlign w:val="center"/>
          </w:tcPr>
          <w:p>
            <w:pPr>
              <w:pStyle w:val="14"/>
              <w:bidi w:val="0"/>
            </w:pPr>
            <w:r>
              <w:rPr>
                <w:rFonts w:hint="eastAsia"/>
              </w:rPr>
              <w:t>5</w:t>
            </w:r>
          </w:p>
        </w:tc>
      </w:tr>
    </w:tbl>
    <w:p>
      <w:r>
        <w:rPr>
          <w:rFonts w:hint="eastAsia"/>
          <w:lang w:val="en-US" w:eastAsia="zh-CN"/>
        </w:rPr>
        <w:t>6</w:t>
      </w:r>
      <w:r>
        <w:t>.2.2海绵城市建设项目施工建设的评分项评价方法应符合本标准第</w:t>
      </w:r>
      <w:r>
        <w:rPr>
          <w:rFonts w:hint="eastAsia"/>
          <w:lang w:val="en-US" w:eastAsia="zh-CN"/>
        </w:rPr>
        <w:t>4.0.7</w:t>
      </w:r>
      <w:r>
        <w:t>条的规定</w:t>
      </w:r>
      <w:r>
        <w:rPr>
          <w:rFonts w:hint="eastAsia"/>
        </w:rPr>
        <w:t>。</w:t>
      </w:r>
    </w:p>
    <w:p>
      <w:r>
        <w:rPr>
          <w:rFonts w:hint="eastAsia"/>
        </w:rPr>
        <w:br w:type="page"/>
      </w:r>
    </w:p>
    <w:p/>
    <w:p>
      <w:pPr>
        <w:pStyle w:val="2"/>
      </w:pPr>
      <w:bookmarkStart w:id="36" w:name="_Toc13067"/>
      <w:bookmarkStart w:id="37" w:name="_Toc164442245"/>
      <w:r>
        <w:rPr>
          <w:rFonts w:hint="eastAsia"/>
          <w:lang w:val="en-US" w:eastAsia="zh-CN"/>
        </w:rPr>
        <w:t>7</w:t>
      </w:r>
      <w:r>
        <w:rPr>
          <w:rFonts w:hint="eastAsia"/>
        </w:rPr>
        <w:t xml:space="preserve"> </w:t>
      </w:r>
      <w:r>
        <w:rPr>
          <w:rFonts w:hint="eastAsia"/>
          <w:lang w:eastAsia="zh-CN"/>
        </w:rPr>
        <w:t>建设效果</w:t>
      </w:r>
      <w:r>
        <w:rPr>
          <w:rFonts w:hint="eastAsia"/>
        </w:rPr>
        <w:t>评价</w:t>
      </w:r>
      <w:bookmarkEnd w:id="36"/>
      <w:bookmarkEnd w:id="37"/>
    </w:p>
    <w:p>
      <w:pPr>
        <w:pStyle w:val="3"/>
      </w:pPr>
      <w:bookmarkStart w:id="38" w:name="_Toc21957"/>
      <w:bookmarkStart w:id="39" w:name="_Toc164442246"/>
      <w:r>
        <w:rPr>
          <w:rFonts w:hint="eastAsia"/>
          <w:lang w:val="en-US" w:eastAsia="zh-CN"/>
        </w:rPr>
        <w:t>7</w:t>
      </w:r>
      <w:r>
        <w:t>.1</w:t>
      </w:r>
      <w:r>
        <w:rPr>
          <w:rFonts w:hint="eastAsia"/>
        </w:rPr>
        <w:t xml:space="preserve"> </w:t>
      </w:r>
      <w:r>
        <w:t>控制项</w:t>
      </w:r>
      <w:bookmarkEnd w:id="38"/>
      <w:bookmarkEnd w:id="39"/>
    </w:p>
    <w:p>
      <w:pPr>
        <w:rPr>
          <w:highlight w:val="none"/>
        </w:rPr>
      </w:pPr>
      <w:r>
        <w:rPr>
          <w:rFonts w:hint="eastAsia"/>
          <w:lang w:val="en-US" w:eastAsia="zh-CN"/>
        </w:rPr>
        <w:t>7</w:t>
      </w:r>
      <w:r>
        <w:rPr>
          <w:rFonts w:hint="eastAsia"/>
        </w:rPr>
        <w:t>.</w:t>
      </w:r>
      <w:r>
        <w:rPr>
          <w:rFonts w:hint="eastAsia"/>
          <w:highlight w:val="none"/>
        </w:rPr>
        <w:t>1.1竣工图内容完整，图面规范，表达清晰。</w:t>
      </w:r>
    </w:p>
    <w:p>
      <w:pPr>
        <w:rPr>
          <w:highlight w:val="none"/>
        </w:rPr>
      </w:pPr>
      <w:r>
        <w:rPr>
          <w:rFonts w:hint="eastAsia"/>
          <w:highlight w:val="none"/>
          <w:lang w:val="en-US" w:eastAsia="zh-CN"/>
        </w:rPr>
        <w:t>7</w:t>
      </w:r>
      <w:r>
        <w:rPr>
          <w:rFonts w:hint="eastAsia"/>
          <w:highlight w:val="none"/>
        </w:rPr>
        <w:t>.1.2</w:t>
      </w:r>
      <w:r>
        <w:rPr>
          <w:rFonts w:hint="eastAsia"/>
          <w:highlight w:val="none"/>
          <w:lang w:eastAsia="zh-CN"/>
        </w:rPr>
        <w:t>海绵城市设施</w:t>
      </w:r>
      <w:r>
        <w:rPr>
          <w:rFonts w:hint="eastAsia"/>
          <w:highlight w:val="none"/>
        </w:rPr>
        <w:t>正常运行、无损坏，</w:t>
      </w:r>
      <w:r>
        <w:rPr>
          <w:rFonts w:hint="eastAsia"/>
          <w:strike w:val="0"/>
          <w:dstrike w:val="0"/>
          <w:highlight w:val="none"/>
          <w:lang w:val="en-US" w:eastAsia="zh-CN"/>
        </w:rPr>
        <w:t>雨水利用</w:t>
      </w:r>
      <w:r>
        <w:rPr>
          <w:rFonts w:hint="eastAsia"/>
          <w:highlight w:val="none"/>
        </w:rPr>
        <w:t>出水水质达到相应回用标准。</w:t>
      </w:r>
    </w:p>
    <w:p>
      <w:pPr>
        <w:rPr>
          <w:highlight w:val="none"/>
        </w:rPr>
      </w:pPr>
      <w:r>
        <w:rPr>
          <w:rFonts w:hint="eastAsia"/>
          <w:highlight w:val="none"/>
          <w:lang w:val="en-US" w:eastAsia="zh-CN"/>
        </w:rPr>
        <w:t>7</w:t>
      </w:r>
      <w:r>
        <w:rPr>
          <w:rFonts w:hint="eastAsia"/>
          <w:highlight w:val="none"/>
        </w:rPr>
        <w:t>.1.3</w:t>
      </w:r>
      <w:r>
        <w:rPr>
          <w:highlight w:val="none"/>
        </w:rPr>
        <w:t>场地内</w:t>
      </w:r>
      <w:r>
        <w:rPr>
          <w:rFonts w:hint="eastAsia"/>
          <w:strike w:val="0"/>
          <w:dstrike w:val="0"/>
          <w:highlight w:val="none"/>
          <w:lang w:val="en-US" w:eastAsia="zh-CN"/>
        </w:rPr>
        <w:t>消除内涝风险</w:t>
      </w:r>
      <w:r>
        <w:rPr>
          <w:highlight w:val="none"/>
        </w:rPr>
        <w:t>，</w:t>
      </w:r>
      <w:r>
        <w:rPr>
          <w:rFonts w:hint="eastAsia"/>
          <w:highlight w:val="none"/>
          <w:lang w:val="en-US" w:eastAsia="zh-CN"/>
        </w:rPr>
        <w:t>设防标准降雨情况下无内涝积水现象发生，</w:t>
      </w:r>
      <w:r>
        <w:rPr>
          <w:highlight w:val="none"/>
        </w:rPr>
        <w:t>场地内竖向布置及</w:t>
      </w:r>
      <w:r>
        <w:rPr>
          <w:rFonts w:hint="eastAsia"/>
          <w:highlight w:val="none"/>
          <w:lang w:eastAsia="zh-CN"/>
        </w:rPr>
        <w:t>海绵城市设施</w:t>
      </w:r>
      <w:r>
        <w:rPr>
          <w:highlight w:val="none"/>
        </w:rPr>
        <w:t>溢流组织应合理。</w:t>
      </w:r>
    </w:p>
    <w:p>
      <w:pPr>
        <w:rPr>
          <w:rFonts w:hint="eastAsia" w:eastAsia="宋体"/>
          <w:highlight w:val="none"/>
          <w:lang w:eastAsia="zh-CN"/>
        </w:rPr>
      </w:pPr>
      <w:r>
        <w:rPr>
          <w:rFonts w:hint="eastAsia"/>
          <w:highlight w:val="none"/>
          <w:lang w:val="en-US" w:eastAsia="zh-CN"/>
        </w:rPr>
        <w:t>7</w:t>
      </w:r>
      <w:r>
        <w:rPr>
          <w:rFonts w:hint="eastAsia"/>
          <w:highlight w:val="none"/>
        </w:rPr>
        <w:t>.1.4对工业厂区场地内地表污染严重区域，应设置</w:t>
      </w:r>
      <w:r>
        <w:rPr>
          <w:rFonts w:hint="eastAsia"/>
          <w:strike w:val="0"/>
          <w:dstrike w:val="0"/>
          <w:highlight w:val="none"/>
          <w:lang w:val="en-US" w:eastAsia="zh-CN"/>
        </w:rPr>
        <w:t>径流</w:t>
      </w:r>
      <w:r>
        <w:rPr>
          <w:rFonts w:hint="eastAsia"/>
          <w:highlight w:val="none"/>
        </w:rPr>
        <w:t>雨水</w:t>
      </w:r>
      <w:r>
        <w:rPr>
          <w:rFonts w:hint="eastAsia"/>
          <w:strike w:val="0"/>
          <w:dstrike w:val="0"/>
          <w:highlight w:val="none"/>
          <w:lang w:val="en-US" w:eastAsia="zh-CN"/>
        </w:rPr>
        <w:t>收集</w:t>
      </w:r>
      <w:r>
        <w:rPr>
          <w:rFonts w:hint="eastAsia"/>
          <w:highlight w:val="none"/>
        </w:rPr>
        <w:t>处理设施</w:t>
      </w:r>
      <w:bookmarkStart w:id="40" w:name="_Toc164442247"/>
      <w:r>
        <w:rPr>
          <w:rFonts w:hint="eastAsia"/>
          <w:highlight w:val="none"/>
          <w:lang w:eastAsia="zh-CN"/>
        </w:rPr>
        <w:t>，</w:t>
      </w:r>
      <w:r>
        <w:rPr>
          <w:rFonts w:hint="eastAsia"/>
        </w:rPr>
        <w:t>对初期雨水截流</w:t>
      </w:r>
      <w:r>
        <w:rPr>
          <w:rFonts w:hint="eastAsia"/>
          <w:lang w:val="en-US" w:eastAsia="zh-CN"/>
        </w:rPr>
        <w:t>要求的</w:t>
      </w:r>
      <w:r>
        <w:rPr>
          <w:rFonts w:hint="eastAsia"/>
        </w:rPr>
        <w:t>工业类型应符合相关规规范标准要求</w:t>
      </w:r>
      <w:r>
        <w:rPr>
          <w:rFonts w:hint="eastAsia"/>
          <w:lang w:eastAsia="zh-CN"/>
        </w:rPr>
        <w:t>。</w:t>
      </w:r>
    </w:p>
    <w:p>
      <w:r>
        <w:rPr>
          <w:rFonts w:hint="eastAsia"/>
        </w:rPr>
        <w:br w:type="page"/>
      </w:r>
    </w:p>
    <w:p>
      <w:pPr>
        <w:pStyle w:val="3"/>
      </w:pPr>
      <w:bookmarkStart w:id="41" w:name="_Toc30120"/>
      <w:r>
        <w:rPr>
          <w:rFonts w:hint="eastAsia"/>
          <w:lang w:val="en-US" w:eastAsia="zh-CN"/>
        </w:rPr>
        <w:t>7</w:t>
      </w:r>
      <w:r>
        <w:rPr>
          <w:rFonts w:hint="eastAsia"/>
        </w:rPr>
        <w:t>.2 评分项</w:t>
      </w:r>
      <w:bookmarkEnd w:id="40"/>
      <w:bookmarkEnd w:id="41"/>
    </w:p>
    <w:p>
      <w:r>
        <w:rPr>
          <w:rFonts w:hint="eastAsia"/>
          <w:lang w:val="en-US" w:eastAsia="zh-CN"/>
        </w:rPr>
        <w:t>7</w:t>
      </w:r>
      <w:r>
        <w:t>.2.1海绵城市建设项目</w:t>
      </w:r>
      <w:r>
        <w:rPr>
          <w:rFonts w:hint="eastAsia"/>
          <w:lang w:eastAsia="zh-CN"/>
        </w:rPr>
        <w:t>建设效果</w:t>
      </w:r>
      <w:r>
        <w:t>评分项的评价标准和分值应按表</w:t>
      </w:r>
      <w:r>
        <w:rPr>
          <w:rFonts w:hint="eastAsia"/>
          <w:lang w:val="en-US" w:eastAsia="zh-CN"/>
        </w:rPr>
        <w:t>7</w:t>
      </w:r>
      <w:r>
        <w:t>.2.1的规定执行。</w:t>
      </w:r>
    </w:p>
    <w:p>
      <w:pPr>
        <w:pStyle w:val="13"/>
        <w:rPr>
          <w:lang w:val="zh-TW" w:eastAsia="zh-TW"/>
        </w:rPr>
      </w:pPr>
      <w:r>
        <w:rPr>
          <w:lang w:val="zh-TW" w:eastAsia="zh-TW"/>
        </w:rPr>
        <w:t>表</w:t>
      </w:r>
      <w:r>
        <w:rPr>
          <w:rFonts w:hint="eastAsia"/>
          <w:lang w:val="en-US" w:eastAsia="zh-CN"/>
        </w:rPr>
        <w:t>7</w:t>
      </w:r>
      <w:r>
        <w:t>.2.1</w:t>
      </w:r>
      <w:r>
        <w:rPr>
          <w:rFonts w:hint="eastAsia"/>
          <w:lang w:eastAsia="zh-CN"/>
        </w:rPr>
        <w:t>建设效果</w:t>
      </w:r>
      <w:r>
        <w:rPr>
          <w:lang w:val="zh-TW" w:eastAsia="zh-TW"/>
        </w:rPr>
        <w:t>评分项</w:t>
      </w:r>
    </w:p>
    <w:p>
      <w:pPr>
        <w:pStyle w:val="13"/>
      </w:pPr>
      <w:r>
        <w:rPr>
          <w:rFonts w:hint="eastAsia"/>
        </w:rPr>
        <w:t>Ⅰ通用设施建设运行情况（</w:t>
      </w:r>
      <w:r>
        <w:rPr>
          <w:rFonts w:hint="eastAsia"/>
          <w:lang w:val="en-US" w:eastAsia="zh-CN"/>
        </w:rPr>
        <w:t>70</w:t>
      </w:r>
      <w:r>
        <w:rPr>
          <w:rFonts w:hint="eastAsia"/>
        </w:rPr>
        <w:t>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7"/>
        <w:gridCol w:w="1134"/>
        <w:gridCol w:w="5386"/>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567" w:type="dxa"/>
            <w:vMerge w:val="restart"/>
            <w:shd w:val="clear" w:color="auto" w:fill="auto"/>
            <w:vAlign w:val="center"/>
          </w:tcPr>
          <w:p>
            <w:pPr>
              <w:pStyle w:val="14"/>
              <w:bidi w:val="0"/>
              <w:rPr>
                <w:lang w:val="zh-TW" w:eastAsia="zh-TW"/>
              </w:rPr>
            </w:pPr>
            <w:r>
              <w:rPr>
                <w:lang w:val="zh-TW" w:eastAsia="zh-TW"/>
              </w:rPr>
              <w:t>序号</w:t>
            </w:r>
          </w:p>
        </w:tc>
        <w:tc>
          <w:tcPr>
            <w:tcW w:w="6520" w:type="dxa"/>
            <w:gridSpan w:val="2"/>
            <w:vMerge w:val="restart"/>
            <w:shd w:val="clear" w:color="auto" w:fill="auto"/>
            <w:vAlign w:val="center"/>
          </w:tcPr>
          <w:p>
            <w:pPr>
              <w:pStyle w:val="14"/>
              <w:bidi w:val="0"/>
              <w:rPr>
                <w:lang w:val="zh-TW" w:eastAsia="zh-TW"/>
              </w:rPr>
            </w:pPr>
            <w:r>
              <w:rPr>
                <w:lang w:val="zh-TW" w:eastAsia="zh-TW"/>
              </w:rPr>
              <w:t>评价标准</w:t>
            </w:r>
          </w:p>
        </w:tc>
        <w:tc>
          <w:tcPr>
            <w:tcW w:w="1134" w:type="dxa"/>
            <w:gridSpan w:val="2"/>
            <w:shd w:val="clear" w:color="auto" w:fill="auto"/>
            <w:vAlign w:val="center"/>
          </w:tcPr>
          <w:p>
            <w:pPr>
              <w:pStyle w:val="14"/>
              <w:bidi w:val="0"/>
              <w:rPr>
                <w:lang w:val="zh-TW" w:eastAsia="zh-TW"/>
              </w:rPr>
            </w:pPr>
            <w:r>
              <w:rPr>
                <w:lang w:val="zh-TW" w:eastAsia="zh-TW"/>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567" w:type="dxa"/>
            <w:vMerge w:val="continue"/>
            <w:shd w:val="clear" w:color="auto" w:fill="auto"/>
            <w:vAlign w:val="center"/>
          </w:tcPr>
          <w:p>
            <w:pPr>
              <w:pStyle w:val="14"/>
              <w:bidi w:val="0"/>
              <w:rPr>
                <w:lang w:eastAsia="en-US"/>
              </w:rPr>
            </w:pPr>
          </w:p>
        </w:tc>
        <w:tc>
          <w:tcPr>
            <w:tcW w:w="6520" w:type="dxa"/>
            <w:gridSpan w:val="2"/>
            <w:vMerge w:val="continue"/>
            <w:shd w:val="clear" w:color="auto" w:fill="auto"/>
            <w:vAlign w:val="center"/>
          </w:tcPr>
          <w:p>
            <w:pPr>
              <w:pStyle w:val="14"/>
              <w:bidi w:val="0"/>
              <w:rPr>
                <w:lang w:eastAsia="en-US"/>
              </w:rPr>
            </w:pPr>
          </w:p>
        </w:tc>
        <w:tc>
          <w:tcPr>
            <w:tcW w:w="567" w:type="dxa"/>
            <w:shd w:val="clear" w:color="auto" w:fill="auto"/>
            <w:vAlign w:val="center"/>
          </w:tcPr>
          <w:p>
            <w:pPr>
              <w:pStyle w:val="14"/>
              <w:bidi w:val="0"/>
              <w:rPr>
                <w:lang w:val="zh-TW" w:eastAsia="zh-TW"/>
              </w:rPr>
            </w:pPr>
            <w:r>
              <w:rPr>
                <w:lang w:val="zh-TW" w:eastAsia="zh-TW"/>
              </w:rPr>
              <w:t>评分</w:t>
            </w:r>
          </w:p>
        </w:tc>
        <w:tc>
          <w:tcPr>
            <w:tcW w:w="567" w:type="dxa"/>
            <w:shd w:val="clear" w:color="auto" w:fill="auto"/>
            <w:vAlign w:val="center"/>
          </w:tcPr>
          <w:p>
            <w:pPr>
              <w:pStyle w:val="14"/>
              <w:bidi w:val="0"/>
              <w:rPr>
                <w:lang w:val="zh-TW" w:eastAsia="zh-TW"/>
              </w:rPr>
            </w:pPr>
            <w:r>
              <w:rPr>
                <w:lang w:val="zh-TW" w:eastAsia="zh-TW"/>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jc w:val="center"/>
        </w:trPr>
        <w:tc>
          <w:tcPr>
            <w:tcW w:w="567" w:type="dxa"/>
            <w:vMerge w:val="restart"/>
            <w:shd w:val="clear" w:color="auto" w:fill="auto"/>
            <w:vAlign w:val="center"/>
          </w:tcPr>
          <w:p>
            <w:pPr>
              <w:pStyle w:val="14"/>
              <w:bidi w:val="0"/>
            </w:pPr>
            <w:r>
              <w:rPr>
                <w:rFonts w:hint="eastAsia"/>
              </w:rPr>
              <w:t>1</w:t>
            </w:r>
          </w:p>
        </w:tc>
        <w:tc>
          <w:tcPr>
            <w:tcW w:w="1134" w:type="dxa"/>
            <w:vMerge w:val="restart"/>
            <w:shd w:val="clear" w:color="auto" w:fill="auto"/>
            <w:vAlign w:val="center"/>
          </w:tcPr>
          <w:p>
            <w:pPr>
              <w:pStyle w:val="14"/>
              <w:bidi w:val="0"/>
            </w:pPr>
            <w:r>
              <w:rPr>
                <w:rFonts w:hint="eastAsia"/>
                <w:lang w:eastAsia="zh-CN"/>
              </w:rPr>
              <w:t>海绵城市设施</w:t>
            </w:r>
            <w:r>
              <w:rPr>
                <w:rFonts w:hint="eastAsia"/>
              </w:rPr>
              <w:t>运行情况</w:t>
            </w:r>
          </w:p>
        </w:tc>
        <w:tc>
          <w:tcPr>
            <w:tcW w:w="5386" w:type="dxa"/>
            <w:shd w:val="clear" w:color="auto" w:fill="auto"/>
            <w:vAlign w:val="center"/>
          </w:tcPr>
          <w:p>
            <w:pPr>
              <w:pStyle w:val="14"/>
              <w:bidi w:val="0"/>
              <w:rPr>
                <w:lang w:val="zh-TW"/>
              </w:rPr>
            </w:pPr>
            <w:r>
              <w:rPr>
                <w:lang w:val="zh-TW" w:eastAsia="zh-TW"/>
              </w:rPr>
              <w:t>1）</w:t>
            </w:r>
            <w:r>
              <w:rPr>
                <w:rFonts w:hint="eastAsia"/>
                <w:lang w:val="zh-TW" w:eastAsia="zh-CN"/>
              </w:rPr>
              <w:t>海绵城市设施</w:t>
            </w:r>
            <w:r>
              <w:rPr>
                <w:lang w:val="zh-TW" w:eastAsia="zh-TW"/>
              </w:rPr>
              <w:t>周边场地环境易于维护且无安全隐患</w:t>
            </w:r>
            <w:r>
              <w:rPr>
                <w:rFonts w:hint="eastAsia"/>
                <w:lang w:val="zh-TW"/>
              </w:rPr>
              <w:t>，</w:t>
            </w:r>
            <w:r>
              <w:rPr>
                <w:rFonts w:hint="eastAsia"/>
                <w:lang w:val="en-US" w:eastAsia="zh-CN"/>
              </w:rPr>
              <w:t>存在</w:t>
            </w:r>
            <w:r>
              <w:rPr>
                <w:lang w:val="zh-TW" w:eastAsia="zh-TW"/>
              </w:rPr>
              <w:t>人员坠落风险</w:t>
            </w:r>
            <w:r>
              <w:rPr>
                <w:rFonts w:hint="eastAsia"/>
                <w:lang w:val="en-US" w:eastAsia="zh-CN"/>
              </w:rPr>
              <w:t>时应</w:t>
            </w:r>
            <w:r>
              <w:rPr>
                <w:rFonts w:hint="eastAsia"/>
              </w:rPr>
              <w:t>设置</w:t>
            </w:r>
            <w:r>
              <w:rPr>
                <w:lang w:val="zh-TW" w:eastAsia="zh-TW"/>
              </w:rPr>
              <w:t>警示标志、安全护栏、检查井防坠网</w:t>
            </w:r>
            <w:r>
              <w:rPr>
                <w:rFonts w:hint="eastAsia"/>
                <w:lang w:val="zh-TW"/>
              </w:rPr>
              <w:t>。</w:t>
            </w:r>
          </w:p>
        </w:tc>
        <w:tc>
          <w:tcPr>
            <w:tcW w:w="567" w:type="dxa"/>
            <w:shd w:val="clear" w:color="auto" w:fill="auto"/>
            <w:vAlign w:val="center"/>
          </w:tcPr>
          <w:p>
            <w:pPr>
              <w:pStyle w:val="14"/>
              <w:bidi w:val="0"/>
            </w:pPr>
            <w:r>
              <w:rPr>
                <w:rFonts w:hint="eastAsia"/>
              </w:rPr>
              <w:t>5</w:t>
            </w:r>
          </w:p>
        </w:tc>
        <w:tc>
          <w:tcPr>
            <w:tcW w:w="567" w:type="dxa"/>
            <w:vMerge w:val="restart"/>
            <w:shd w:val="clear" w:color="auto" w:fill="auto"/>
            <w:vAlign w:val="center"/>
          </w:tcPr>
          <w:p>
            <w:pPr>
              <w:pStyle w:val="14"/>
              <w:bidi w:val="0"/>
            </w:pP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2）雨水</w:t>
            </w:r>
            <w:r>
              <w:rPr>
                <w:rFonts w:hint="eastAsia"/>
                <w:lang w:val="en-US" w:eastAsia="zh-CN"/>
              </w:rPr>
              <w:t>利</w:t>
            </w:r>
            <w:r>
              <w:rPr>
                <w:rFonts w:hint="eastAsia"/>
              </w:rPr>
              <w:t>用设施和取水点设置明显的防止误饮用指示牌等安全警示措施</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rPr>
                <w:lang w:val="zh-TW" w:eastAsia="zh-TW"/>
              </w:rPr>
            </w:pPr>
          </w:p>
        </w:tc>
        <w:tc>
          <w:tcPr>
            <w:tcW w:w="5386" w:type="dxa"/>
            <w:shd w:val="clear" w:color="auto" w:fill="auto"/>
            <w:vAlign w:val="center"/>
          </w:tcPr>
          <w:p>
            <w:pPr>
              <w:pStyle w:val="14"/>
              <w:bidi w:val="0"/>
              <w:rPr>
                <w:lang w:val="zh-TW" w:eastAsia="zh-TW"/>
              </w:rPr>
            </w:pPr>
            <w:r>
              <w:rPr>
                <w:rFonts w:hint="eastAsia"/>
              </w:rPr>
              <w:t>3）</w:t>
            </w:r>
            <w:r>
              <w:rPr>
                <w:rFonts w:hint="eastAsia"/>
                <w:lang w:eastAsia="zh-CN"/>
              </w:rPr>
              <w:t>海绵城市设施</w:t>
            </w:r>
            <w:r>
              <w:rPr>
                <w:rFonts w:hint="eastAsia"/>
              </w:rPr>
              <w:t>进水口、溢流口、格栅等无异物堵塞</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3"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rPr>
                <w:lang w:val="zh-TW" w:eastAsia="zh-TW"/>
              </w:rPr>
            </w:pPr>
          </w:p>
        </w:tc>
        <w:tc>
          <w:tcPr>
            <w:tcW w:w="5386" w:type="dxa"/>
            <w:shd w:val="clear" w:color="auto" w:fill="auto"/>
            <w:vAlign w:val="center"/>
          </w:tcPr>
          <w:p>
            <w:pPr>
              <w:pStyle w:val="14"/>
              <w:bidi w:val="0"/>
            </w:pPr>
            <w:r>
              <w:rPr>
                <w:rFonts w:hint="eastAsia"/>
              </w:rPr>
              <w:t>4）透水铺装无明显破损和堵塞，无明显污染</w:t>
            </w:r>
            <w:r>
              <w:rPr>
                <w:rFonts w:hint="eastAsia"/>
                <w:lang w:eastAsia="zh-CN"/>
              </w:rPr>
              <w:t>，</w:t>
            </w:r>
            <w:r>
              <w:rPr>
                <w:rFonts w:hint="eastAsia"/>
              </w:rPr>
              <w:t>控制径流效果明显</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rPr>
                <w:lang w:val="zh-TW" w:eastAsia="zh-TW"/>
              </w:rPr>
            </w:pPr>
          </w:p>
        </w:tc>
        <w:tc>
          <w:tcPr>
            <w:tcW w:w="5386" w:type="dxa"/>
            <w:shd w:val="clear" w:color="auto" w:fill="auto"/>
            <w:vAlign w:val="center"/>
          </w:tcPr>
          <w:p>
            <w:pPr>
              <w:pStyle w:val="14"/>
              <w:bidi w:val="0"/>
            </w:pPr>
            <w:r>
              <w:rPr>
                <w:rFonts w:hint="eastAsia"/>
              </w:rPr>
              <w:t>5）绿色设施的植物层长势良好，无杂草、垃圾及病虫害</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rPr>
                <w:lang w:val="zh-TW" w:eastAsia="zh-TW"/>
              </w:rPr>
            </w:pPr>
          </w:p>
        </w:tc>
        <w:tc>
          <w:tcPr>
            <w:tcW w:w="5386" w:type="dxa"/>
            <w:shd w:val="clear" w:color="auto" w:fill="auto"/>
            <w:vAlign w:val="center"/>
          </w:tcPr>
          <w:p>
            <w:pPr>
              <w:pStyle w:val="14"/>
              <w:bidi w:val="0"/>
            </w:pPr>
            <w:r>
              <w:rPr>
                <w:rFonts w:hint="eastAsia"/>
              </w:rPr>
              <w:t>6）配备应急设施及专职管理人员，保证暴雨期间人员安全和设施安全运营</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restart"/>
            <w:shd w:val="clear" w:color="auto" w:fill="auto"/>
            <w:vAlign w:val="center"/>
          </w:tcPr>
          <w:p>
            <w:pPr>
              <w:pStyle w:val="14"/>
              <w:bidi w:val="0"/>
            </w:pPr>
            <w:r>
              <w:rPr>
                <w:rFonts w:hint="eastAsia"/>
              </w:rPr>
              <w:t>2</w:t>
            </w:r>
          </w:p>
        </w:tc>
        <w:tc>
          <w:tcPr>
            <w:tcW w:w="1134" w:type="dxa"/>
            <w:vMerge w:val="restart"/>
            <w:shd w:val="clear" w:color="auto" w:fill="auto"/>
            <w:vAlign w:val="center"/>
          </w:tcPr>
          <w:p>
            <w:pPr>
              <w:pStyle w:val="14"/>
              <w:bidi w:val="0"/>
            </w:pPr>
            <w:r>
              <w:rPr>
                <w:rFonts w:hint="eastAsia"/>
              </w:rPr>
              <w:t>生物滞留设施建设情况</w:t>
            </w:r>
          </w:p>
        </w:tc>
        <w:tc>
          <w:tcPr>
            <w:tcW w:w="5386" w:type="dxa"/>
            <w:shd w:val="clear" w:color="auto" w:fill="auto"/>
            <w:vAlign w:val="center"/>
          </w:tcPr>
          <w:p>
            <w:pPr>
              <w:pStyle w:val="14"/>
              <w:bidi w:val="0"/>
            </w:pPr>
            <w:r>
              <w:rPr>
                <w:rFonts w:hint="eastAsia"/>
              </w:rPr>
              <w:t>1）</w:t>
            </w:r>
            <w:r>
              <w:rPr>
                <w:lang w:val="zh-TW" w:eastAsia="zh-TW"/>
              </w:rPr>
              <w:t>生物滞留设施蓄水层深度不小于设计要求，溢流水位上有50</w:t>
            </w:r>
            <w:r>
              <w:rPr>
                <w:rFonts w:hint="eastAsia"/>
                <w:lang w:val="zh-TW" w:eastAsia="zh-CN"/>
              </w:rPr>
              <w:t>～</w:t>
            </w:r>
            <w:r>
              <w:rPr>
                <w:lang w:val="zh-TW" w:eastAsia="zh-TW"/>
              </w:rPr>
              <w:t>100mm超高，边坡坡度适宜，稳固耐冲蚀</w:t>
            </w:r>
          </w:p>
        </w:tc>
        <w:tc>
          <w:tcPr>
            <w:tcW w:w="567" w:type="dxa"/>
            <w:shd w:val="clear" w:color="auto" w:fill="auto"/>
            <w:vAlign w:val="center"/>
          </w:tcPr>
          <w:p>
            <w:pPr>
              <w:pStyle w:val="14"/>
              <w:bidi w:val="0"/>
            </w:pPr>
            <w:r>
              <w:rPr>
                <w:rFonts w:hint="eastAsia"/>
              </w:rPr>
              <w:t>2</w:t>
            </w:r>
          </w:p>
        </w:tc>
        <w:tc>
          <w:tcPr>
            <w:tcW w:w="567" w:type="dxa"/>
            <w:vMerge w:val="restart"/>
            <w:shd w:val="clear" w:color="auto" w:fill="auto"/>
            <w:vAlign w:val="center"/>
          </w:tcPr>
          <w:p>
            <w:pPr>
              <w:pStyle w:val="14"/>
              <w:bidi w:val="0"/>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2）生物滞留设施前端消能、净化设施布置合理，生物滞留设施无冲刷，土壤无板结</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1"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rPr>
                <w:rFonts w:hint="eastAsia" w:eastAsia="宋体"/>
                <w:lang w:val="en-US" w:eastAsia="zh-CN"/>
              </w:rPr>
            </w:pPr>
            <w:r>
              <w:rPr>
                <w:rFonts w:hint="eastAsia"/>
              </w:rPr>
              <w:t>3）生物滞留设施</w:t>
            </w:r>
            <w:r>
              <w:rPr>
                <w:lang w:val="zh-TW" w:eastAsia="zh-TW"/>
              </w:rPr>
              <w:t>边缘处高程低于周边场地，与景观</w:t>
            </w:r>
            <w:r>
              <w:rPr>
                <w:rFonts w:hint="eastAsia"/>
              </w:rPr>
              <w:t>微</w:t>
            </w:r>
            <w:r>
              <w:rPr>
                <w:lang w:val="zh-TW" w:eastAsia="zh-TW"/>
              </w:rPr>
              <w:t>地形</w:t>
            </w:r>
            <w:r>
              <w:rPr>
                <w:rFonts w:hint="eastAsia"/>
              </w:rPr>
              <w:t>协调</w:t>
            </w:r>
            <w:r>
              <w:rPr>
                <w:lang w:val="zh-TW" w:eastAsia="zh-TW"/>
              </w:rPr>
              <w:t>，平缓、顺畅衔接</w:t>
            </w:r>
            <w:r>
              <w:rPr>
                <w:rFonts w:hint="eastAsia"/>
                <w:lang w:val="zh-TW"/>
              </w:rPr>
              <w:t>，</w:t>
            </w:r>
            <w:r>
              <w:rPr>
                <w:rFonts w:hint="eastAsia"/>
                <w:lang w:val="en-US" w:eastAsia="zh-CN"/>
              </w:rPr>
              <w:t>汇水范围内</w:t>
            </w:r>
            <w:r>
              <w:rPr>
                <w:lang w:val="zh-TW" w:eastAsia="zh-TW"/>
              </w:rPr>
              <w:t>雨水可自然径流汇入。衔接处宜布设卵石带，起到消能、净化的作用</w:t>
            </w:r>
            <w:r>
              <w:rPr>
                <w:rFonts w:hint="eastAsia"/>
                <w:lang w:val="zh-TW"/>
              </w:rPr>
              <w:t>，</w:t>
            </w:r>
            <w:r>
              <w:rPr>
                <w:rFonts w:hint="eastAsia"/>
              </w:rPr>
              <w:t>碎石、植物配置合理，无</w:t>
            </w:r>
            <w:r>
              <w:rPr>
                <w:lang w:val="zh-TW" w:eastAsia="zh-TW"/>
              </w:rPr>
              <w:t>裸土</w:t>
            </w:r>
            <w:r>
              <w:rPr>
                <w:rFonts w:hint="eastAsia"/>
                <w:lang w:val="en-US" w:eastAsia="zh-CN"/>
              </w:rPr>
              <w:t>现象</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rPr>
                <w:rFonts w:hint="default" w:eastAsia="宋体"/>
                <w:lang w:val="en-US" w:eastAsia="zh-CN"/>
              </w:rPr>
            </w:pPr>
            <w:r>
              <w:rPr>
                <w:rFonts w:hint="eastAsia"/>
              </w:rPr>
              <w:t>4）植物配置与景观风貌相协调，生物滞留设施内检查井、溢流口经</w:t>
            </w:r>
            <w:r>
              <w:rPr>
                <w:rFonts w:hint="eastAsia"/>
                <w:lang w:val="en-US" w:eastAsia="zh-CN"/>
              </w:rPr>
              <w:t>景观美化处理</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5）覆盖层、种植土层、过渡层、排水层厚度满足设计要求</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5" w:hRule="exact"/>
          <w:jc w:val="center"/>
        </w:trPr>
        <w:tc>
          <w:tcPr>
            <w:tcW w:w="567" w:type="dxa"/>
            <w:vMerge w:val="restart"/>
            <w:shd w:val="clear" w:color="auto" w:fill="auto"/>
            <w:vAlign w:val="center"/>
          </w:tcPr>
          <w:p>
            <w:pPr>
              <w:pStyle w:val="14"/>
              <w:bidi w:val="0"/>
            </w:pPr>
            <w:r>
              <w:rPr>
                <w:rFonts w:hint="eastAsia"/>
              </w:rPr>
              <w:t>3</w:t>
            </w:r>
          </w:p>
        </w:tc>
        <w:tc>
          <w:tcPr>
            <w:tcW w:w="1134" w:type="dxa"/>
            <w:vMerge w:val="restart"/>
            <w:shd w:val="clear" w:color="auto" w:fill="auto"/>
            <w:vAlign w:val="center"/>
          </w:tcPr>
          <w:p>
            <w:pPr>
              <w:pStyle w:val="14"/>
              <w:bidi w:val="0"/>
            </w:pPr>
            <w:r>
              <w:rPr>
                <w:rFonts w:hint="eastAsia"/>
              </w:rPr>
              <w:t>透水铺装建设情况</w:t>
            </w:r>
          </w:p>
        </w:tc>
        <w:tc>
          <w:tcPr>
            <w:tcW w:w="5386" w:type="dxa"/>
            <w:shd w:val="clear" w:color="auto" w:fill="auto"/>
            <w:vAlign w:val="center"/>
          </w:tcPr>
          <w:p>
            <w:pPr>
              <w:pStyle w:val="14"/>
              <w:bidi w:val="0"/>
            </w:pPr>
            <w:r>
              <w:rPr>
                <w:rFonts w:hint="eastAsia"/>
              </w:rPr>
              <w:t>1）结构层满足设计要求</w:t>
            </w:r>
          </w:p>
        </w:tc>
        <w:tc>
          <w:tcPr>
            <w:tcW w:w="567" w:type="dxa"/>
            <w:shd w:val="clear" w:color="auto" w:fill="auto"/>
            <w:vAlign w:val="center"/>
          </w:tcPr>
          <w:p>
            <w:pPr>
              <w:pStyle w:val="14"/>
              <w:bidi w:val="0"/>
            </w:pPr>
            <w:r>
              <w:rPr>
                <w:rFonts w:hint="eastAsia"/>
              </w:rPr>
              <w:t>3</w:t>
            </w:r>
          </w:p>
        </w:tc>
        <w:tc>
          <w:tcPr>
            <w:tcW w:w="567" w:type="dxa"/>
            <w:vMerge w:val="restart"/>
            <w:shd w:val="clear" w:color="auto" w:fill="auto"/>
            <w:vAlign w:val="center"/>
          </w:tcPr>
          <w:p>
            <w:pPr>
              <w:pStyle w:val="14"/>
              <w:bidi w:val="0"/>
            </w:pPr>
            <w:r>
              <w:rPr>
                <w:rFonts w:hint="eastAsi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2）透水混凝土配比正确</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3）规格样式美观大方，与周边设施衔接顺畅合理</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restart"/>
            <w:shd w:val="clear" w:color="auto" w:fill="auto"/>
            <w:vAlign w:val="center"/>
          </w:tcPr>
          <w:p>
            <w:pPr>
              <w:pStyle w:val="14"/>
              <w:bidi w:val="0"/>
            </w:pPr>
            <w:r>
              <w:rPr>
                <w:rFonts w:hint="eastAsia"/>
              </w:rPr>
              <w:t>4</w:t>
            </w:r>
          </w:p>
        </w:tc>
        <w:tc>
          <w:tcPr>
            <w:tcW w:w="1134" w:type="dxa"/>
            <w:vMerge w:val="restart"/>
            <w:shd w:val="clear" w:color="auto" w:fill="auto"/>
            <w:vAlign w:val="center"/>
          </w:tcPr>
          <w:p>
            <w:pPr>
              <w:pStyle w:val="14"/>
              <w:bidi w:val="0"/>
            </w:pPr>
            <w:r>
              <w:rPr>
                <w:rFonts w:hint="eastAsia"/>
              </w:rPr>
              <w:t>导流设施建设情况</w:t>
            </w:r>
          </w:p>
        </w:tc>
        <w:tc>
          <w:tcPr>
            <w:tcW w:w="5386" w:type="dxa"/>
            <w:shd w:val="clear" w:color="auto" w:fill="auto"/>
            <w:vAlign w:val="center"/>
          </w:tcPr>
          <w:p>
            <w:pPr>
              <w:pStyle w:val="14"/>
              <w:bidi w:val="0"/>
            </w:pPr>
            <w:r>
              <w:rPr>
                <w:rFonts w:hint="eastAsia"/>
              </w:rPr>
              <w:t>1）植草沟边坡放坡自然顺滑，沟渠表面平整、密实</w:t>
            </w:r>
          </w:p>
        </w:tc>
        <w:tc>
          <w:tcPr>
            <w:tcW w:w="567" w:type="dxa"/>
            <w:shd w:val="clear" w:color="auto" w:fill="auto"/>
            <w:vAlign w:val="center"/>
          </w:tcPr>
          <w:p>
            <w:pPr>
              <w:pStyle w:val="14"/>
              <w:bidi w:val="0"/>
            </w:pPr>
            <w:r>
              <w:rPr>
                <w:rFonts w:hint="eastAsia"/>
              </w:rPr>
              <w:t>3</w:t>
            </w:r>
          </w:p>
        </w:tc>
        <w:tc>
          <w:tcPr>
            <w:tcW w:w="567" w:type="dxa"/>
            <w:vMerge w:val="restart"/>
            <w:shd w:val="clear" w:color="auto" w:fill="auto"/>
            <w:vAlign w:val="center"/>
          </w:tcPr>
          <w:p>
            <w:pPr>
              <w:pStyle w:val="14"/>
              <w:bidi w:val="0"/>
            </w:pPr>
            <w:r>
              <w:rPr>
                <w:rFonts w:hint="eastAsi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2）植草沟覆盖层草皮或较矮地被植物，植草沟内土壤无裸露，具有良好的景观效果</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3）砾</w:t>
            </w:r>
            <w:r>
              <w:rPr>
                <w:rFonts w:hint="eastAsia"/>
                <w:lang w:eastAsia="zh-CN"/>
              </w:rPr>
              <w:t>（</w:t>
            </w:r>
            <w:r>
              <w:rPr>
                <w:rFonts w:hint="eastAsia"/>
                <w:lang w:val="en-US" w:eastAsia="zh-CN"/>
              </w:rPr>
              <w:t>卵</w:t>
            </w:r>
            <w:r>
              <w:rPr>
                <w:rFonts w:hint="eastAsia"/>
                <w:lang w:eastAsia="zh-CN"/>
              </w:rPr>
              <w:t>）</w:t>
            </w:r>
            <w:r>
              <w:rPr>
                <w:rFonts w:hint="eastAsia"/>
              </w:rPr>
              <w:t>石沟选材的大小、形状、颜色和密度适宜，景观效果良好，无堵塞情况</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restart"/>
            <w:shd w:val="clear" w:color="auto" w:fill="auto"/>
            <w:vAlign w:val="center"/>
          </w:tcPr>
          <w:p>
            <w:pPr>
              <w:pStyle w:val="14"/>
              <w:bidi w:val="0"/>
            </w:pPr>
            <w:r>
              <w:rPr>
                <w:rFonts w:hint="eastAsia"/>
              </w:rPr>
              <w:t>5</w:t>
            </w:r>
          </w:p>
        </w:tc>
        <w:tc>
          <w:tcPr>
            <w:tcW w:w="1134" w:type="dxa"/>
            <w:vMerge w:val="restart"/>
            <w:shd w:val="clear" w:color="auto" w:fill="auto"/>
            <w:vAlign w:val="center"/>
          </w:tcPr>
          <w:p>
            <w:pPr>
              <w:pStyle w:val="14"/>
              <w:bidi w:val="0"/>
            </w:pPr>
            <w:r>
              <w:rPr>
                <w:rFonts w:hint="eastAsia"/>
              </w:rPr>
              <w:t>雨水调蓄和</w:t>
            </w:r>
            <w:r>
              <w:rPr>
                <w:rFonts w:hint="eastAsia"/>
                <w:lang w:val="en-US" w:eastAsia="zh-CN"/>
              </w:rPr>
              <w:t>利</w:t>
            </w:r>
            <w:r>
              <w:rPr>
                <w:rFonts w:hint="eastAsia"/>
              </w:rPr>
              <w:t>用设施建设情况</w:t>
            </w:r>
          </w:p>
        </w:tc>
        <w:tc>
          <w:tcPr>
            <w:tcW w:w="5386" w:type="dxa"/>
            <w:shd w:val="clear" w:color="auto" w:fill="auto"/>
            <w:vAlign w:val="center"/>
          </w:tcPr>
          <w:p>
            <w:pPr>
              <w:pStyle w:val="14"/>
              <w:bidi w:val="0"/>
            </w:pPr>
            <w:r>
              <w:rPr>
                <w:rFonts w:hint="eastAsia"/>
              </w:rPr>
              <w:t>1）</w:t>
            </w:r>
            <w:r>
              <w:rPr>
                <w:lang w:val="zh-TW" w:eastAsia="zh-TW"/>
              </w:rPr>
              <w:t>初期雨水弃流设施、环保型雨水口、水力颗粒分离器等设施运行良好，</w:t>
            </w:r>
            <w:r>
              <w:rPr>
                <w:rFonts w:hint="eastAsia"/>
              </w:rPr>
              <w:t>无淤堵</w:t>
            </w:r>
          </w:p>
        </w:tc>
        <w:tc>
          <w:tcPr>
            <w:tcW w:w="567" w:type="dxa"/>
            <w:shd w:val="clear" w:color="auto" w:fill="auto"/>
            <w:vAlign w:val="center"/>
          </w:tcPr>
          <w:p>
            <w:pPr>
              <w:pStyle w:val="14"/>
              <w:bidi w:val="0"/>
            </w:pPr>
            <w:r>
              <w:rPr>
                <w:rFonts w:hint="eastAsia"/>
              </w:rPr>
              <w:t>2</w:t>
            </w:r>
          </w:p>
        </w:tc>
        <w:tc>
          <w:tcPr>
            <w:tcW w:w="567" w:type="dxa"/>
            <w:vMerge w:val="restart"/>
            <w:shd w:val="clear" w:color="auto" w:fill="auto"/>
            <w:vAlign w:val="center"/>
          </w:tcPr>
          <w:p>
            <w:pPr>
              <w:pStyle w:val="14"/>
              <w:bidi w:val="0"/>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2）弃流井、进水管、出水管、排空管过水通畅，无堵塞、无废弃物及其他沉积物</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3）蓄水池结构稳固，无渗漏、无沉降</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4</w:t>
            </w:r>
            <w:r>
              <w:rPr>
                <w:lang w:val="zh-TW" w:eastAsia="zh-TW"/>
              </w:rPr>
              <w:t>）</w:t>
            </w:r>
            <w:r>
              <w:rPr>
                <w:rFonts w:hint="eastAsia"/>
                <w:lang w:val="zh-TW" w:eastAsia="zh-CN"/>
              </w:rPr>
              <w:t>雨水利用</w:t>
            </w:r>
            <w:r>
              <w:rPr>
                <w:lang w:val="zh-TW" w:eastAsia="zh-TW"/>
              </w:rPr>
              <w:t>系统运行良好，回用雨水的水质符合现行国家有关标准的规定</w:t>
            </w:r>
            <w:r>
              <w:rPr>
                <w:rFonts w:hint="eastAsia"/>
              </w:rPr>
              <w:t>，各用水点用水正常</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5）机电设备工作正常</w:t>
            </w:r>
          </w:p>
        </w:tc>
        <w:tc>
          <w:tcPr>
            <w:tcW w:w="567" w:type="dxa"/>
            <w:shd w:val="clear" w:color="auto" w:fill="auto"/>
            <w:vAlign w:val="center"/>
          </w:tcPr>
          <w:p>
            <w:pPr>
              <w:pStyle w:val="14"/>
              <w:bidi w:val="0"/>
            </w:pPr>
            <w:r>
              <w:rPr>
                <w:rFonts w:hint="eastAsia"/>
              </w:rPr>
              <w:t>2</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shd w:val="clear" w:color="auto" w:fill="auto"/>
            <w:vAlign w:val="center"/>
          </w:tcPr>
          <w:p>
            <w:pPr>
              <w:pStyle w:val="14"/>
              <w:bidi w:val="0"/>
            </w:pPr>
            <w:r>
              <w:rPr>
                <w:rFonts w:hint="eastAsia"/>
              </w:rPr>
              <w:t>6</w:t>
            </w:r>
          </w:p>
        </w:tc>
        <w:tc>
          <w:tcPr>
            <w:tcW w:w="1134" w:type="dxa"/>
            <w:shd w:val="clear" w:color="auto" w:fill="auto"/>
            <w:vAlign w:val="center"/>
          </w:tcPr>
          <w:p>
            <w:pPr>
              <w:pStyle w:val="14"/>
              <w:bidi w:val="0"/>
            </w:pPr>
            <w:r>
              <w:rPr>
                <w:rFonts w:hint="eastAsia"/>
                <w:lang w:val="en-US" w:eastAsia="zh-CN"/>
              </w:rPr>
              <w:t>径流污染控制</w:t>
            </w:r>
            <w:r>
              <w:rPr>
                <w:rFonts w:hint="eastAsia"/>
              </w:rPr>
              <w:t>设施</w:t>
            </w:r>
          </w:p>
        </w:tc>
        <w:tc>
          <w:tcPr>
            <w:tcW w:w="5386" w:type="dxa"/>
            <w:shd w:val="clear" w:color="auto" w:fill="auto"/>
            <w:vAlign w:val="center"/>
          </w:tcPr>
          <w:p>
            <w:pPr>
              <w:pStyle w:val="14"/>
              <w:bidi w:val="0"/>
              <w:rPr>
                <w:rFonts w:hint="eastAsia"/>
              </w:rPr>
            </w:pPr>
            <w:r>
              <w:rPr>
                <w:rFonts w:hint="eastAsia"/>
              </w:rPr>
              <w:t>弃流初期雨水排入污水系统，后期清洁雨水排入雨水系统</w:t>
            </w:r>
          </w:p>
        </w:tc>
        <w:tc>
          <w:tcPr>
            <w:tcW w:w="567" w:type="dxa"/>
            <w:shd w:val="clear" w:color="auto" w:fill="auto"/>
            <w:vAlign w:val="center"/>
          </w:tcPr>
          <w:p>
            <w:pPr>
              <w:pStyle w:val="14"/>
              <w:bidi w:val="0"/>
            </w:pPr>
            <w:r>
              <w:rPr>
                <w:rFonts w:hint="eastAsia"/>
              </w:rPr>
              <w:t>3</w:t>
            </w:r>
          </w:p>
        </w:tc>
        <w:tc>
          <w:tcPr>
            <w:tcW w:w="567" w:type="dxa"/>
            <w:shd w:val="clear" w:color="auto" w:fill="auto"/>
            <w:vAlign w:val="center"/>
          </w:tcPr>
          <w:p>
            <w:pPr>
              <w:pStyle w:val="14"/>
              <w:bidi w:val="0"/>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restart"/>
            <w:shd w:val="clear" w:color="auto" w:fill="auto"/>
            <w:vAlign w:val="center"/>
          </w:tcPr>
          <w:p>
            <w:pPr>
              <w:pStyle w:val="14"/>
              <w:bidi w:val="0"/>
            </w:pPr>
            <w:r>
              <w:rPr>
                <w:rFonts w:hint="eastAsia"/>
              </w:rPr>
              <w:t>7</w:t>
            </w:r>
          </w:p>
        </w:tc>
        <w:tc>
          <w:tcPr>
            <w:tcW w:w="1134" w:type="dxa"/>
            <w:vMerge w:val="restart"/>
            <w:shd w:val="clear" w:color="auto" w:fill="auto"/>
            <w:vAlign w:val="center"/>
          </w:tcPr>
          <w:p>
            <w:pPr>
              <w:pStyle w:val="14"/>
              <w:bidi w:val="0"/>
            </w:pPr>
            <w:r>
              <w:rPr>
                <w:rFonts w:hint="eastAsia"/>
                <w:lang w:eastAsia="zh-CN"/>
              </w:rPr>
              <w:t>绿化屋顶</w:t>
            </w:r>
            <w:r>
              <w:rPr>
                <w:rFonts w:hint="eastAsia"/>
              </w:rPr>
              <w:t>建设情况</w:t>
            </w:r>
          </w:p>
        </w:tc>
        <w:tc>
          <w:tcPr>
            <w:tcW w:w="5386" w:type="dxa"/>
            <w:shd w:val="clear" w:color="auto" w:fill="auto"/>
            <w:vAlign w:val="center"/>
          </w:tcPr>
          <w:p>
            <w:pPr>
              <w:pStyle w:val="14"/>
              <w:bidi w:val="0"/>
            </w:pPr>
            <w:r>
              <w:rPr>
                <w:rFonts w:hint="eastAsia"/>
              </w:rPr>
              <w:t>1）种植土质量轻、养分适度和安全环保，无漏水</w:t>
            </w:r>
          </w:p>
        </w:tc>
        <w:tc>
          <w:tcPr>
            <w:tcW w:w="567" w:type="dxa"/>
            <w:shd w:val="clear" w:color="auto" w:fill="auto"/>
            <w:vAlign w:val="center"/>
          </w:tcPr>
          <w:p>
            <w:pPr>
              <w:pStyle w:val="14"/>
              <w:bidi w:val="0"/>
            </w:pPr>
            <w:r>
              <w:rPr>
                <w:rFonts w:hint="eastAsia"/>
              </w:rPr>
              <w:t>1</w:t>
            </w:r>
          </w:p>
        </w:tc>
        <w:tc>
          <w:tcPr>
            <w:tcW w:w="567" w:type="dxa"/>
            <w:vMerge w:val="restart"/>
            <w:shd w:val="clear" w:color="auto" w:fill="auto"/>
            <w:vAlign w:val="center"/>
          </w:tcPr>
          <w:p>
            <w:pPr>
              <w:pStyle w:val="14"/>
              <w:bidi w:val="0"/>
            </w:pPr>
            <w:r>
              <w:rPr>
                <w:rFonts w:hint="eastAsi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2）防水层满足Ⅰ级防水等级设防要求，且至少设置一道具有耐根穿刺性能的防水材料</w:t>
            </w:r>
          </w:p>
        </w:tc>
        <w:tc>
          <w:tcPr>
            <w:tcW w:w="567" w:type="dxa"/>
            <w:shd w:val="clear" w:color="auto" w:fill="auto"/>
            <w:vAlign w:val="center"/>
          </w:tcPr>
          <w:p>
            <w:pPr>
              <w:pStyle w:val="14"/>
              <w:bidi w:val="0"/>
            </w:pPr>
            <w:r>
              <w:rPr>
                <w:rFonts w:hint="eastAsia"/>
              </w:rPr>
              <w:t>1</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3）排水层与建筑屋顶檐沟、雨水斗有效衔接，保证排水畅通</w:t>
            </w:r>
          </w:p>
        </w:tc>
        <w:tc>
          <w:tcPr>
            <w:tcW w:w="567" w:type="dxa"/>
            <w:shd w:val="clear" w:color="auto" w:fill="auto"/>
            <w:vAlign w:val="center"/>
          </w:tcPr>
          <w:p>
            <w:pPr>
              <w:pStyle w:val="14"/>
              <w:bidi w:val="0"/>
            </w:pPr>
            <w:r>
              <w:rPr>
                <w:rFonts w:hint="eastAsia"/>
              </w:rPr>
              <w:t>1</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67" w:type="dxa"/>
            <w:vMerge w:val="continue"/>
            <w:shd w:val="clear" w:color="auto" w:fill="auto"/>
            <w:vAlign w:val="center"/>
          </w:tcPr>
          <w:p>
            <w:pPr>
              <w:pStyle w:val="14"/>
              <w:bidi w:val="0"/>
            </w:pPr>
          </w:p>
        </w:tc>
        <w:tc>
          <w:tcPr>
            <w:tcW w:w="1134" w:type="dxa"/>
            <w:vMerge w:val="continue"/>
            <w:shd w:val="clear" w:color="auto" w:fill="auto"/>
            <w:vAlign w:val="center"/>
          </w:tcPr>
          <w:p>
            <w:pPr>
              <w:pStyle w:val="14"/>
              <w:bidi w:val="0"/>
            </w:pPr>
          </w:p>
        </w:tc>
        <w:tc>
          <w:tcPr>
            <w:tcW w:w="5386" w:type="dxa"/>
            <w:shd w:val="clear" w:color="auto" w:fill="auto"/>
            <w:vAlign w:val="center"/>
          </w:tcPr>
          <w:p>
            <w:pPr>
              <w:pStyle w:val="14"/>
              <w:bidi w:val="0"/>
            </w:pPr>
            <w:r>
              <w:rPr>
                <w:rFonts w:hint="eastAsia"/>
              </w:rPr>
              <w:t>4）乔灌草比例搭配合理，色彩感观较好，季相变化丰富，具有良好的景观效果</w:t>
            </w:r>
          </w:p>
        </w:tc>
        <w:tc>
          <w:tcPr>
            <w:tcW w:w="567" w:type="dxa"/>
            <w:shd w:val="clear" w:color="auto" w:fill="auto"/>
            <w:vAlign w:val="center"/>
          </w:tcPr>
          <w:p>
            <w:pPr>
              <w:pStyle w:val="14"/>
              <w:bidi w:val="0"/>
            </w:pPr>
            <w:r>
              <w:rPr>
                <w:rFonts w:hint="eastAsia"/>
              </w:rPr>
              <w:t>1</w:t>
            </w:r>
          </w:p>
        </w:tc>
        <w:tc>
          <w:tcPr>
            <w:tcW w:w="567" w:type="dxa"/>
            <w:vMerge w:val="continue"/>
            <w:shd w:val="clear" w:color="auto" w:fill="auto"/>
            <w:vAlign w:val="center"/>
          </w:tcPr>
          <w:p>
            <w:pPr>
              <w:pStyle w:val="14"/>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1" w:hRule="exact"/>
          <w:jc w:val="center"/>
        </w:trPr>
        <w:tc>
          <w:tcPr>
            <w:tcW w:w="567" w:type="dxa"/>
            <w:shd w:val="clear" w:color="auto" w:fill="auto"/>
            <w:vAlign w:val="center"/>
          </w:tcPr>
          <w:p>
            <w:pPr>
              <w:pStyle w:val="14"/>
              <w:bidi w:val="0"/>
            </w:pPr>
            <w:r>
              <w:rPr>
                <w:rFonts w:hint="eastAsia"/>
              </w:rPr>
              <w:t>8</w:t>
            </w:r>
          </w:p>
        </w:tc>
        <w:tc>
          <w:tcPr>
            <w:tcW w:w="1134" w:type="dxa"/>
            <w:shd w:val="clear" w:color="auto" w:fill="auto"/>
            <w:vAlign w:val="center"/>
          </w:tcPr>
          <w:p>
            <w:pPr>
              <w:pStyle w:val="14"/>
              <w:bidi w:val="0"/>
            </w:pPr>
            <w:r>
              <w:rPr>
                <w:rFonts w:hint="eastAsia"/>
              </w:rPr>
              <w:t>渗透设施建设情况</w:t>
            </w:r>
          </w:p>
        </w:tc>
        <w:tc>
          <w:tcPr>
            <w:tcW w:w="5386" w:type="dxa"/>
            <w:shd w:val="clear" w:color="auto" w:fill="auto"/>
            <w:vAlign w:val="center"/>
          </w:tcPr>
          <w:p>
            <w:pPr>
              <w:pStyle w:val="14"/>
              <w:bidi w:val="0"/>
            </w:pPr>
            <w:r>
              <w:rPr>
                <w:rFonts w:hint="eastAsia"/>
              </w:rPr>
              <w:t>渗管、渗渠、渗井周边地面及建构筑物无沉降、坍塌，设施结构稳固，无垃圾和淤泥沙，预处理设施、溢流设施和渗渠表面的油脂沉积物得到定期清理，透水性能良好，积水在设计排空时间内完全排空</w:t>
            </w:r>
          </w:p>
        </w:tc>
        <w:tc>
          <w:tcPr>
            <w:tcW w:w="567" w:type="dxa"/>
            <w:shd w:val="clear" w:color="auto" w:fill="auto"/>
            <w:vAlign w:val="center"/>
          </w:tcPr>
          <w:p>
            <w:pPr>
              <w:pStyle w:val="14"/>
              <w:bidi w:val="0"/>
              <w:rPr>
                <w:rFonts w:hint="eastAsia"/>
                <w:lang w:eastAsia="zh-CN"/>
              </w:rPr>
            </w:pPr>
            <w:r>
              <w:rPr>
                <w:rFonts w:hint="eastAsia"/>
                <w:lang w:val="en-US" w:eastAsia="zh-CN"/>
              </w:rPr>
              <w:t>2</w:t>
            </w:r>
          </w:p>
        </w:tc>
        <w:tc>
          <w:tcPr>
            <w:tcW w:w="567" w:type="dxa"/>
            <w:shd w:val="clear" w:color="auto" w:fill="auto"/>
            <w:vAlign w:val="center"/>
          </w:tcPr>
          <w:p>
            <w:pPr>
              <w:pStyle w:val="14"/>
              <w:bidi w:val="0"/>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6" w:hRule="exact"/>
          <w:jc w:val="center"/>
        </w:trPr>
        <w:tc>
          <w:tcPr>
            <w:tcW w:w="567" w:type="dxa"/>
            <w:vMerge w:val="restart"/>
            <w:shd w:val="clear" w:color="auto" w:fill="auto"/>
            <w:vAlign w:val="center"/>
          </w:tcPr>
          <w:p>
            <w:pPr>
              <w:pStyle w:val="14"/>
              <w:bidi w:val="0"/>
              <w:rPr>
                <w:rFonts w:hint="eastAsia" w:eastAsia="宋体"/>
                <w:lang w:val="en-US" w:eastAsia="zh-CN"/>
              </w:rPr>
            </w:pPr>
            <w:r>
              <w:rPr>
                <w:rFonts w:hint="eastAsia"/>
                <w:lang w:val="en-US" w:eastAsia="zh-CN"/>
              </w:rPr>
              <w:t>9</w:t>
            </w:r>
          </w:p>
        </w:tc>
        <w:tc>
          <w:tcPr>
            <w:tcW w:w="1134" w:type="dxa"/>
            <w:vMerge w:val="restart"/>
            <w:shd w:val="clear" w:color="auto" w:fill="auto"/>
            <w:vAlign w:val="center"/>
          </w:tcPr>
          <w:p>
            <w:pPr>
              <w:pStyle w:val="14"/>
              <w:bidi w:val="0"/>
              <w:rPr>
                <w:rFonts w:hint="default" w:eastAsia="宋体"/>
                <w:lang w:val="en-US" w:eastAsia="zh-CN"/>
              </w:rPr>
            </w:pPr>
            <w:r>
              <w:rPr>
                <w:rFonts w:hint="eastAsia"/>
                <w:lang w:val="en-US" w:eastAsia="zh-CN"/>
              </w:rPr>
              <w:t>新材料、新设备使用情况</w:t>
            </w:r>
          </w:p>
        </w:tc>
        <w:tc>
          <w:tcPr>
            <w:tcW w:w="5386" w:type="dxa"/>
            <w:shd w:val="clear" w:color="auto" w:fill="auto"/>
            <w:vAlign w:val="center"/>
          </w:tcPr>
          <w:p>
            <w:pPr>
              <w:spacing w:line="240" w:lineRule="auto"/>
              <w:ind w:left="0" w:leftChars="0" w:firstLine="0" w:firstLineChars="0"/>
              <w:rPr>
                <w:rFonts w:hint="eastAsia" w:eastAsia="宋体"/>
                <w:lang w:val="en-US" w:eastAsia="zh-CN"/>
              </w:rPr>
            </w:pPr>
            <w:r>
              <w:rPr>
                <w:rFonts w:hint="eastAsia" w:cstheme="minorBidi"/>
                <w:kern w:val="2"/>
                <w:sz w:val="21"/>
                <w:szCs w:val="24"/>
                <w:lang w:val="en-US" w:eastAsia="zh-CN" w:bidi="ar-SA"/>
              </w:rPr>
              <w:t>海绵城市设施</w:t>
            </w:r>
            <w:r>
              <w:rPr>
                <w:rFonts w:hint="eastAsia" w:ascii="Times New Roman" w:hAnsi="Times New Roman" w:eastAsia="宋体" w:cstheme="minorBidi"/>
                <w:kern w:val="2"/>
                <w:sz w:val="21"/>
                <w:szCs w:val="24"/>
                <w:lang w:val="en-US" w:eastAsia="zh-CN" w:bidi="ar-SA"/>
              </w:rPr>
              <w:t>采用通过鉴定的新技术、新工艺、新材料、新设备，实际效果优良、维护成本低、设施美观</w:t>
            </w:r>
          </w:p>
        </w:tc>
        <w:tc>
          <w:tcPr>
            <w:tcW w:w="567" w:type="dxa"/>
            <w:shd w:val="clear" w:color="auto" w:fill="auto"/>
            <w:vAlign w:val="center"/>
          </w:tcPr>
          <w:p>
            <w:pPr>
              <w:pStyle w:val="14"/>
              <w:bidi w:val="0"/>
              <w:rPr>
                <w:rFonts w:hint="default"/>
                <w:lang w:val="en-US" w:eastAsia="zh-CN"/>
              </w:rPr>
            </w:pPr>
            <w:r>
              <w:rPr>
                <w:rFonts w:hint="eastAsia"/>
                <w:lang w:val="en-US" w:eastAsia="zh-CN"/>
              </w:rPr>
              <w:t>3</w:t>
            </w:r>
          </w:p>
        </w:tc>
        <w:tc>
          <w:tcPr>
            <w:tcW w:w="567" w:type="dxa"/>
            <w:vMerge w:val="restart"/>
            <w:shd w:val="clear" w:color="auto" w:fill="auto"/>
            <w:vAlign w:val="center"/>
          </w:tcPr>
          <w:p>
            <w:pPr>
              <w:pStyle w:val="14"/>
              <w:bidi w:val="0"/>
              <w:rPr>
                <w:rFonts w:hint="eastAsia" w:eastAsia="宋体"/>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exact"/>
          <w:jc w:val="center"/>
        </w:trPr>
        <w:tc>
          <w:tcPr>
            <w:tcW w:w="567" w:type="dxa"/>
            <w:vMerge w:val="continue"/>
            <w:shd w:val="clear" w:color="auto" w:fill="auto"/>
            <w:vAlign w:val="center"/>
          </w:tcPr>
          <w:p>
            <w:pPr>
              <w:pStyle w:val="14"/>
              <w:bidi w:val="0"/>
              <w:rPr>
                <w:rFonts w:hint="eastAsia"/>
                <w:lang w:val="en-US" w:eastAsia="zh-CN"/>
              </w:rPr>
            </w:pPr>
          </w:p>
        </w:tc>
        <w:tc>
          <w:tcPr>
            <w:tcW w:w="1134" w:type="dxa"/>
            <w:vMerge w:val="continue"/>
            <w:shd w:val="clear" w:color="auto" w:fill="auto"/>
            <w:vAlign w:val="center"/>
          </w:tcPr>
          <w:p>
            <w:pPr>
              <w:pStyle w:val="14"/>
              <w:bidi w:val="0"/>
              <w:rPr>
                <w:rFonts w:hint="eastAsia"/>
                <w:lang w:val="en-US" w:eastAsia="zh-CN"/>
              </w:rPr>
            </w:pPr>
          </w:p>
        </w:tc>
        <w:tc>
          <w:tcPr>
            <w:tcW w:w="5386" w:type="dxa"/>
            <w:shd w:val="clear" w:color="auto" w:fill="auto"/>
            <w:vAlign w:val="center"/>
          </w:tcPr>
          <w:p>
            <w:pPr>
              <w:spacing w:line="240" w:lineRule="auto"/>
              <w:ind w:left="0" w:leftChars="0" w:firstLine="0" w:firstLineChars="0"/>
              <w:rPr>
                <w:rFonts w:hint="default" w:ascii="Times New Roman" w:hAnsi="Times New Roman" w:eastAsia="宋体" w:cstheme="minorBidi"/>
                <w:kern w:val="2"/>
                <w:sz w:val="21"/>
                <w:szCs w:val="24"/>
                <w:lang w:val="en-US" w:eastAsia="zh-CN" w:bidi="ar-SA"/>
              </w:rPr>
            </w:pPr>
            <w:r>
              <w:rPr>
                <w:rFonts w:hint="eastAsia" w:cstheme="minorBidi"/>
                <w:kern w:val="2"/>
                <w:sz w:val="21"/>
                <w:szCs w:val="24"/>
                <w:lang w:val="en-US" w:eastAsia="zh-CN" w:bidi="ar-SA"/>
              </w:rPr>
              <w:t>生物滞留设施回填土采用</w:t>
            </w:r>
            <w:r>
              <w:rPr>
                <w:rFonts w:hint="eastAsia" w:ascii="Times New Roman" w:hAnsi="Times New Roman" w:eastAsia="宋体" w:cstheme="minorBidi"/>
                <w:kern w:val="2"/>
                <w:sz w:val="21"/>
                <w:szCs w:val="24"/>
                <w:lang w:val="en-US" w:eastAsia="zh-CN" w:bidi="ar-SA"/>
              </w:rPr>
              <w:t>无公害工业废渣或回用建筑垃圾</w:t>
            </w:r>
          </w:p>
        </w:tc>
        <w:tc>
          <w:tcPr>
            <w:tcW w:w="567" w:type="dxa"/>
            <w:shd w:val="clear" w:color="auto" w:fill="auto"/>
            <w:vAlign w:val="center"/>
          </w:tcPr>
          <w:p>
            <w:pPr>
              <w:pStyle w:val="14"/>
              <w:bidi w:val="0"/>
              <w:rPr>
                <w:rFonts w:hint="default"/>
                <w:lang w:val="en-US" w:eastAsia="zh-CN"/>
              </w:rPr>
            </w:pPr>
            <w:r>
              <w:rPr>
                <w:rFonts w:hint="eastAsia"/>
                <w:lang w:val="en-US" w:eastAsia="zh-CN"/>
              </w:rPr>
              <w:t>2</w:t>
            </w:r>
          </w:p>
        </w:tc>
        <w:tc>
          <w:tcPr>
            <w:tcW w:w="567" w:type="dxa"/>
            <w:vMerge w:val="continue"/>
            <w:shd w:val="clear" w:color="auto" w:fill="auto"/>
            <w:vAlign w:val="center"/>
          </w:tcPr>
          <w:p>
            <w:pPr>
              <w:pStyle w:val="14"/>
              <w:bidi w:val="0"/>
              <w:rPr>
                <w:rFonts w:hint="eastAsia"/>
                <w:lang w:val="en-US" w:eastAsia="zh-CN"/>
              </w:rPr>
            </w:pPr>
          </w:p>
        </w:tc>
      </w:tr>
    </w:tbl>
    <w:p>
      <w:pPr>
        <w:rPr>
          <w:szCs w:val="32"/>
        </w:rPr>
      </w:pPr>
      <w:r>
        <w:rPr>
          <w:rFonts w:hint="eastAsia"/>
          <w:szCs w:val="32"/>
        </w:rPr>
        <w:br w:type="page"/>
      </w:r>
    </w:p>
    <w:p>
      <w:pPr>
        <w:pStyle w:val="13"/>
      </w:pPr>
      <w:r>
        <w:rPr>
          <w:rFonts w:hint="eastAsia"/>
        </w:rPr>
        <w:t>Ⅱ评价对象</w:t>
      </w:r>
      <w:r>
        <w:rPr>
          <w:rFonts w:hint="eastAsia"/>
          <w:lang w:eastAsia="zh-CN"/>
        </w:rPr>
        <w:t>建设效果</w:t>
      </w:r>
      <w:r>
        <w:rPr>
          <w:rFonts w:hint="eastAsia"/>
        </w:rPr>
        <w:t>（20分）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7"/>
        <w:gridCol w:w="1134"/>
        <w:gridCol w:w="5386"/>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567" w:type="dxa"/>
            <w:vMerge w:val="restart"/>
            <w:shd w:val="clear" w:color="auto" w:fill="auto"/>
            <w:vAlign w:val="center"/>
          </w:tcPr>
          <w:p>
            <w:pPr>
              <w:pStyle w:val="14"/>
              <w:bidi w:val="0"/>
              <w:rPr>
                <w:lang w:val="zh-TW" w:eastAsia="zh-TW"/>
              </w:rPr>
            </w:pPr>
            <w:r>
              <w:rPr>
                <w:lang w:val="zh-TW" w:eastAsia="zh-TW"/>
              </w:rPr>
              <w:t>序号</w:t>
            </w:r>
          </w:p>
        </w:tc>
        <w:tc>
          <w:tcPr>
            <w:tcW w:w="6520" w:type="dxa"/>
            <w:gridSpan w:val="2"/>
            <w:vMerge w:val="restart"/>
            <w:shd w:val="clear" w:color="auto" w:fill="auto"/>
            <w:vAlign w:val="center"/>
          </w:tcPr>
          <w:p>
            <w:pPr>
              <w:pStyle w:val="14"/>
              <w:bidi w:val="0"/>
              <w:rPr>
                <w:lang w:val="zh-TW" w:eastAsia="zh-TW"/>
              </w:rPr>
            </w:pPr>
            <w:r>
              <w:rPr>
                <w:lang w:val="zh-TW" w:eastAsia="zh-TW"/>
              </w:rPr>
              <w:t>评价标准</w:t>
            </w:r>
          </w:p>
        </w:tc>
        <w:tc>
          <w:tcPr>
            <w:tcW w:w="1134" w:type="dxa"/>
            <w:gridSpan w:val="2"/>
            <w:shd w:val="clear" w:color="auto" w:fill="auto"/>
            <w:vAlign w:val="center"/>
          </w:tcPr>
          <w:p>
            <w:pPr>
              <w:pStyle w:val="14"/>
              <w:bidi w:val="0"/>
              <w:rPr>
                <w:lang w:val="zh-TW" w:eastAsia="zh-TW"/>
              </w:rPr>
            </w:pPr>
            <w:r>
              <w:rPr>
                <w:lang w:val="zh-TW" w:eastAsia="zh-TW"/>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567" w:type="dxa"/>
            <w:vMerge w:val="continue"/>
            <w:shd w:val="clear" w:color="auto" w:fill="auto"/>
            <w:vAlign w:val="center"/>
          </w:tcPr>
          <w:p>
            <w:pPr>
              <w:pStyle w:val="14"/>
              <w:bidi w:val="0"/>
              <w:rPr>
                <w:lang w:eastAsia="en-US"/>
              </w:rPr>
            </w:pPr>
          </w:p>
        </w:tc>
        <w:tc>
          <w:tcPr>
            <w:tcW w:w="6520" w:type="dxa"/>
            <w:gridSpan w:val="2"/>
            <w:vMerge w:val="continue"/>
            <w:shd w:val="clear" w:color="auto" w:fill="auto"/>
            <w:vAlign w:val="center"/>
          </w:tcPr>
          <w:p>
            <w:pPr>
              <w:pStyle w:val="14"/>
              <w:bidi w:val="0"/>
              <w:rPr>
                <w:lang w:eastAsia="en-US"/>
              </w:rPr>
            </w:pPr>
          </w:p>
        </w:tc>
        <w:tc>
          <w:tcPr>
            <w:tcW w:w="567" w:type="dxa"/>
            <w:shd w:val="clear" w:color="auto" w:fill="auto"/>
            <w:vAlign w:val="center"/>
          </w:tcPr>
          <w:p>
            <w:pPr>
              <w:pStyle w:val="14"/>
              <w:bidi w:val="0"/>
              <w:rPr>
                <w:lang w:val="zh-TW" w:eastAsia="zh-TW"/>
              </w:rPr>
            </w:pPr>
            <w:r>
              <w:rPr>
                <w:lang w:val="zh-TW" w:eastAsia="zh-TW"/>
              </w:rPr>
              <w:t>评分</w:t>
            </w:r>
          </w:p>
        </w:tc>
        <w:tc>
          <w:tcPr>
            <w:tcW w:w="567" w:type="dxa"/>
            <w:shd w:val="clear" w:color="auto" w:fill="auto"/>
            <w:vAlign w:val="center"/>
          </w:tcPr>
          <w:p>
            <w:pPr>
              <w:pStyle w:val="14"/>
              <w:bidi w:val="0"/>
              <w:rPr>
                <w:lang w:val="zh-TW" w:eastAsia="zh-TW"/>
              </w:rPr>
            </w:pPr>
            <w:r>
              <w:rPr>
                <w:lang w:val="zh-TW" w:eastAsia="zh-TW"/>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tblHeader/>
          <w:jc w:val="center"/>
        </w:trPr>
        <w:tc>
          <w:tcPr>
            <w:tcW w:w="567" w:type="dxa"/>
            <w:vMerge w:val="restart"/>
            <w:shd w:val="clear" w:color="auto" w:fill="auto"/>
            <w:vAlign w:val="center"/>
          </w:tcPr>
          <w:p>
            <w:pPr>
              <w:pStyle w:val="14"/>
              <w:bidi w:val="0"/>
              <w:rPr>
                <w:lang w:eastAsia="en-US"/>
              </w:rPr>
            </w:pPr>
            <w:r>
              <w:rPr>
                <w:rFonts w:hint="eastAsia"/>
              </w:rPr>
              <w:t>9</w:t>
            </w:r>
          </w:p>
        </w:tc>
        <w:tc>
          <w:tcPr>
            <w:tcW w:w="1134" w:type="dxa"/>
            <w:vMerge w:val="restart"/>
            <w:shd w:val="clear" w:color="auto" w:fill="auto"/>
            <w:vAlign w:val="center"/>
          </w:tcPr>
          <w:p>
            <w:pPr>
              <w:pStyle w:val="14"/>
              <w:bidi w:val="0"/>
              <w:rPr>
                <w:lang w:eastAsia="en-US"/>
              </w:rPr>
            </w:pPr>
            <w:r>
              <w:rPr>
                <w:rFonts w:hint="eastAsia"/>
              </w:rPr>
              <w:t>建筑与小区项目</w:t>
            </w:r>
          </w:p>
        </w:tc>
        <w:tc>
          <w:tcPr>
            <w:tcW w:w="5386" w:type="dxa"/>
            <w:shd w:val="clear" w:color="auto" w:fill="auto"/>
            <w:vAlign w:val="center"/>
          </w:tcPr>
          <w:p>
            <w:pPr>
              <w:pStyle w:val="14"/>
              <w:bidi w:val="0"/>
              <w:rPr>
                <w:lang w:val="zh-TW"/>
              </w:rPr>
            </w:pPr>
            <w:r>
              <w:rPr>
                <w:lang w:val="zh-TW" w:eastAsia="zh-TW"/>
              </w:rPr>
              <w:t>1）</w:t>
            </w:r>
            <w:r>
              <w:rPr>
                <w:rFonts w:hint="eastAsia"/>
              </w:rPr>
              <w:t>内涝设计重现期标准降雨情况下，</w:t>
            </w:r>
            <w:r>
              <w:t>建筑小区内道路中非雨水调蓄区域的积水深度不超过15cm</w:t>
            </w:r>
            <w:r>
              <w:rPr>
                <w:rFonts w:hint="eastAsia"/>
              </w:rPr>
              <w:t>，</w:t>
            </w:r>
            <w:r>
              <w:t>居民住宅和工商业建筑物的底层无进水现象</w:t>
            </w:r>
          </w:p>
        </w:tc>
        <w:tc>
          <w:tcPr>
            <w:tcW w:w="567" w:type="dxa"/>
            <w:shd w:val="clear" w:color="auto" w:fill="auto"/>
            <w:vAlign w:val="center"/>
          </w:tcPr>
          <w:p>
            <w:pPr>
              <w:pStyle w:val="14"/>
              <w:bidi w:val="0"/>
              <w:rPr>
                <w:lang w:val="zh-TW" w:eastAsia="zh-TW"/>
              </w:rPr>
            </w:pPr>
            <w:r>
              <w:rPr>
                <w:rFonts w:hint="eastAsia"/>
              </w:rPr>
              <w:t>5</w:t>
            </w:r>
          </w:p>
        </w:tc>
        <w:tc>
          <w:tcPr>
            <w:tcW w:w="567" w:type="dxa"/>
            <w:vMerge w:val="restart"/>
            <w:shd w:val="clear" w:color="auto" w:fill="auto"/>
            <w:vAlign w:val="center"/>
          </w:tcPr>
          <w:p>
            <w:pPr>
              <w:pStyle w:val="14"/>
              <w:bidi w:val="0"/>
            </w:pP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rPr>
                <w:rFonts w:hint="eastAsia"/>
                <w:lang w:val="zh-TW" w:eastAsia="zh-CN"/>
              </w:rPr>
            </w:pPr>
            <w:r>
              <w:rPr>
                <w:rFonts w:hint="eastAsia"/>
              </w:rPr>
              <w:t>2</w:t>
            </w:r>
            <w:r>
              <w:t>）超过内涝设计重现期的暴雨，应急措施运行良好</w:t>
            </w:r>
            <w:r>
              <w:rPr>
                <w:rFonts w:hint="eastAsia"/>
                <w:lang w:eastAsia="zh-CN"/>
              </w:rPr>
              <w:t>，</w:t>
            </w:r>
            <w:r>
              <w:rPr>
                <w:rFonts w:hint="eastAsia"/>
              </w:rPr>
              <w:t>不造成生命及财产损失</w:t>
            </w:r>
          </w:p>
        </w:tc>
        <w:tc>
          <w:tcPr>
            <w:tcW w:w="567" w:type="dxa"/>
            <w:shd w:val="clear" w:color="auto" w:fill="auto"/>
            <w:vAlign w:val="center"/>
          </w:tcPr>
          <w:p>
            <w:pPr>
              <w:pStyle w:val="14"/>
              <w:bidi w:val="0"/>
              <w:rPr>
                <w:lang w:val="zh-TW" w:eastAsia="zh-TW"/>
              </w:rPr>
            </w:pPr>
            <w:r>
              <w:rPr>
                <w:rFonts w:hint="eastAsia"/>
              </w:rPr>
              <w:t>5</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pPr>
            <w:r>
              <w:rPr>
                <w:rFonts w:hint="eastAsia"/>
              </w:rPr>
              <w:t>3）建筑屋顶雨水采用断接方式排至地面</w:t>
            </w:r>
            <w:r>
              <w:rPr>
                <w:rFonts w:hint="eastAsia"/>
                <w:lang w:eastAsia="zh-CN"/>
              </w:rPr>
              <w:t>海绵城市设施</w:t>
            </w:r>
            <w:r>
              <w:rPr>
                <w:rFonts w:hint="eastAsia"/>
              </w:rPr>
              <w:t>，设置相应消能防冲刷措施</w:t>
            </w:r>
          </w:p>
        </w:tc>
        <w:tc>
          <w:tcPr>
            <w:tcW w:w="567" w:type="dxa"/>
            <w:shd w:val="clear" w:color="auto" w:fill="auto"/>
            <w:vAlign w:val="center"/>
          </w:tcPr>
          <w:p>
            <w:pPr>
              <w:pStyle w:val="14"/>
              <w:bidi w:val="0"/>
            </w:pPr>
            <w:r>
              <w:rPr>
                <w:rFonts w:hint="eastAsia"/>
              </w:rPr>
              <w:t>5</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pPr>
            <w:r>
              <w:rPr>
                <w:rFonts w:hint="eastAsia"/>
              </w:rPr>
              <w:t>4）</w:t>
            </w:r>
            <w:r>
              <w:t>雨污分流排放，旱天无污水、废水直排现象</w:t>
            </w:r>
          </w:p>
        </w:tc>
        <w:tc>
          <w:tcPr>
            <w:tcW w:w="567" w:type="dxa"/>
            <w:shd w:val="clear" w:color="auto" w:fill="auto"/>
            <w:vAlign w:val="center"/>
          </w:tcPr>
          <w:p>
            <w:pPr>
              <w:pStyle w:val="14"/>
              <w:bidi w:val="0"/>
              <w:rPr>
                <w:lang w:val="zh-TW" w:eastAsia="zh-TW"/>
              </w:rPr>
            </w:pPr>
            <w:r>
              <w:rPr>
                <w:rFonts w:hint="eastAsia"/>
              </w:rPr>
              <w:t>5</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restart"/>
            <w:shd w:val="clear" w:color="auto" w:fill="auto"/>
            <w:vAlign w:val="center"/>
          </w:tcPr>
          <w:p>
            <w:pPr>
              <w:pStyle w:val="14"/>
              <w:bidi w:val="0"/>
            </w:pPr>
            <w:r>
              <w:rPr>
                <w:rFonts w:hint="eastAsia"/>
              </w:rPr>
              <w:t>10</w:t>
            </w:r>
          </w:p>
        </w:tc>
        <w:tc>
          <w:tcPr>
            <w:tcW w:w="1134" w:type="dxa"/>
            <w:vMerge w:val="restart"/>
            <w:shd w:val="clear" w:color="auto" w:fill="auto"/>
            <w:vAlign w:val="center"/>
          </w:tcPr>
          <w:p>
            <w:pPr>
              <w:pStyle w:val="14"/>
              <w:bidi w:val="0"/>
              <w:rPr>
                <w:lang w:eastAsia="en-US"/>
              </w:rPr>
            </w:pPr>
            <w:r>
              <w:rPr>
                <w:rFonts w:hint="eastAsia"/>
              </w:rPr>
              <w:t>道路</w:t>
            </w:r>
            <w:r>
              <w:rPr>
                <w:rFonts w:hint="eastAsia"/>
                <w:lang w:val="en-US" w:eastAsia="zh-CN"/>
              </w:rPr>
              <w:t>与广场</w:t>
            </w:r>
            <w:r>
              <w:rPr>
                <w:rFonts w:hint="eastAsia"/>
              </w:rPr>
              <w:t>项目</w:t>
            </w:r>
          </w:p>
        </w:tc>
        <w:tc>
          <w:tcPr>
            <w:tcW w:w="5386" w:type="dxa"/>
            <w:shd w:val="clear" w:color="auto" w:fill="auto"/>
            <w:vAlign w:val="center"/>
          </w:tcPr>
          <w:p>
            <w:pPr>
              <w:pStyle w:val="14"/>
              <w:bidi w:val="0"/>
            </w:pPr>
            <w:r>
              <w:rPr>
                <w:lang w:val="zh-TW" w:eastAsia="zh-TW"/>
              </w:rPr>
              <w:t>1）</w:t>
            </w:r>
            <w:r>
              <w:rPr>
                <w:rFonts w:hint="eastAsia"/>
              </w:rPr>
              <w:t>内涝设计重现期标准降雨情况下，</w:t>
            </w:r>
            <w:r>
              <w:t>城市道路中一条车道的积水深度不超过15cm</w:t>
            </w:r>
          </w:p>
        </w:tc>
        <w:tc>
          <w:tcPr>
            <w:tcW w:w="567" w:type="dxa"/>
            <w:shd w:val="clear" w:color="auto" w:fill="auto"/>
            <w:vAlign w:val="center"/>
          </w:tcPr>
          <w:p>
            <w:pPr>
              <w:pStyle w:val="14"/>
              <w:bidi w:val="0"/>
              <w:rPr>
                <w:lang w:val="zh-TW" w:eastAsia="zh-TW"/>
              </w:rPr>
            </w:pPr>
            <w:r>
              <w:rPr>
                <w:rFonts w:hint="eastAsia"/>
              </w:rPr>
              <w:t>5</w:t>
            </w:r>
          </w:p>
        </w:tc>
        <w:tc>
          <w:tcPr>
            <w:tcW w:w="567" w:type="dxa"/>
            <w:vMerge w:val="restart"/>
            <w:shd w:val="clear" w:color="auto" w:fill="auto"/>
            <w:vAlign w:val="center"/>
          </w:tcPr>
          <w:p>
            <w:pPr>
              <w:pStyle w:val="14"/>
              <w:bidi w:val="0"/>
            </w:pP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pPr>
            <w:r>
              <w:rPr>
                <w:lang w:val="zh-TW" w:eastAsia="zh-TW"/>
              </w:rPr>
              <w:t>2）</w:t>
            </w:r>
            <w:r>
              <w:t>超过内涝设计重现期的暴雨，道路行泄通道运行良好</w:t>
            </w:r>
          </w:p>
        </w:tc>
        <w:tc>
          <w:tcPr>
            <w:tcW w:w="567" w:type="dxa"/>
            <w:shd w:val="clear" w:color="auto" w:fill="auto"/>
            <w:vAlign w:val="center"/>
          </w:tcPr>
          <w:p>
            <w:pPr>
              <w:pStyle w:val="14"/>
              <w:bidi w:val="0"/>
              <w:rPr>
                <w:lang w:val="zh-TW" w:eastAsia="zh-TW"/>
              </w:rPr>
            </w:pPr>
            <w:r>
              <w:rPr>
                <w:rFonts w:hint="eastAsia"/>
              </w:rPr>
              <w:t>5</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pPr>
            <w:r>
              <w:rPr>
                <w:rFonts w:hint="eastAsia"/>
              </w:rPr>
              <w:t>3</w:t>
            </w:r>
            <w:r>
              <w:rPr>
                <w:lang w:val="zh-TW" w:eastAsia="zh-TW"/>
              </w:rPr>
              <w:t>）</w:t>
            </w:r>
            <w:r>
              <w:rPr>
                <w:rFonts w:hint="eastAsia"/>
              </w:rPr>
              <w:t>道路设置</w:t>
            </w:r>
            <w:r>
              <w:rPr>
                <w:rFonts w:hint="eastAsia"/>
                <w:lang w:val="en-US" w:eastAsia="zh-CN"/>
              </w:rPr>
              <w:t>径流</w:t>
            </w:r>
            <w:r>
              <w:rPr>
                <w:rFonts w:hint="eastAsia"/>
              </w:rPr>
              <w:t>污染削减设施，初期雨水通过绿色设施净化后排放</w:t>
            </w:r>
          </w:p>
        </w:tc>
        <w:tc>
          <w:tcPr>
            <w:tcW w:w="567" w:type="dxa"/>
            <w:shd w:val="clear" w:color="auto" w:fill="auto"/>
            <w:vAlign w:val="center"/>
          </w:tcPr>
          <w:p>
            <w:pPr>
              <w:pStyle w:val="14"/>
              <w:bidi w:val="0"/>
              <w:rPr>
                <w:lang w:val="zh-TW" w:eastAsia="zh-TW"/>
              </w:rPr>
            </w:pPr>
            <w:r>
              <w:rPr>
                <w:rFonts w:hint="eastAsia"/>
              </w:rPr>
              <w:t>5</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rPr>
                <w:rFonts w:hint="eastAsia"/>
              </w:rPr>
            </w:pPr>
            <w:r>
              <w:rPr>
                <w:rFonts w:hint="eastAsia"/>
              </w:rPr>
              <w:t>4）城市道路采用</w:t>
            </w:r>
            <w:r>
              <w:rPr>
                <w:rFonts w:hint="eastAsia"/>
                <w:lang w:eastAsia="zh-CN"/>
              </w:rPr>
              <w:t>路缘石</w:t>
            </w:r>
            <w:r>
              <w:rPr>
                <w:rFonts w:hint="eastAsia"/>
              </w:rPr>
              <w:t>开口或开孔方式引导雨水进入生物滞留带，开口或开孔处路面低于周边路面5cm</w:t>
            </w:r>
            <w:r>
              <w:rPr>
                <w:rFonts w:hint="eastAsia"/>
                <w:lang w:eastAsia="zh-CN"/>
              </w:rPr>
              <w:t>～</w:t>
            </w:r>
            <w:r>
              <w:rPr>
                <w:rFonts w:hint="eastAsia"/>
              </w:rPr>
              <w:t>10cm</w:t>
            </w:r>
          </w:p>
          <w:p>
            <w:pPr>
              <w:pStyle w:val="14"/>
              <w:bidi w:val="0"/>
              <w:rPr>
                <w:rFonts w:hint="eastAsia"/>
              </w:rPr>
            </w:pPr>
          </w:p>
        </w:tc>
        <w:tc>
          <w:tcPr>
            <w:tcW w:w="567" w:type="dxa"/>
            <w:shd w:val="clear" w:color="auto" w:fill="auto"/>
            <w:vAlign w:val="center"/>
          </w:tcPr>
          <w:p>
            <w:pPr>
              <w:pStyle w:val="14"/>
              <w:bidi w:val="0"/>
              <w:rPr>
                <w:rFonts w:hint="eastAsia" w:eastAsia="宋体"/>
                <w:lang w:eastAsia="zh-CN"/>
              </w:rPr>
            </w:pPr>
            <w:r>
              <w:rPr>
                <w:rFonts w:hint="eastAsia"/>
                <w:lang w:val="en-US" w:eastAsia="zh-CN"/>
              </w:rPr>
              <w:t>2</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pPr>
            <w:r>
              <w:rPr>
                <w:rFonts w:hint="eastAsia"/>
              </w:rPr>
              <w:t>5）以自然群落为主，乔灌草比例搭配合理，色彩感观较好，</w:t>
            </w:r>
          </w:p>
          <w:p>
            <w:pPr>
              <w:pStyle w:val="14"/>
              <w:bidi w:val="0"/>
            </w:pPr>
            <w:r>
              <w:rPr>
                <w:rFonts w:hint="eastAsia"/>
              </w:rPr>
              <w:t>季相变化丰富，具有良好的景观效果</w:t>
            </w:r>
          </w:p>
        </w:tc>
        <w:tc>
          <w:tcPr>
            <w:tcW w:w="567" w:type="dxa"/>
            <w:shd w:val="clear" w:color="auto" w:fill="auto"/>
            <w:vAlign w:val="center"/>
          </w:tcPr>
          <w:p>
            <w:pPr>
              <w:pStyle w:val="14"/>
              <w:bidi w:val="0"/>
            </w:pPr>
            <w:r>
              <w:rPr>
                <w:rFonts w:hint="eastAsia"/>
              </w:rPr>
              <w:t>3</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restart"/>
            <w:shd w:val="clear" w:color="auto" w:fill="auto"/>
            <w:vAlign w:val="center"/>
          </w:tcPr>
          <w:p>
            <w:pPr>
              <w:pStyle w:val="14"/>
              <w:bidi w:val="0"/>
            </w:pPr>
            <w:r>
              <w:rPr>
                <w:rFonts w:hint="eastAsia"/>
              </w:rPr>
              <w:t>11</w:t>
            </w:r>
          </w:p>
        </w:tc>
        <w:tc>
          <w:tcPr>
            <w:tcW w:w="1134" w:type="dxa"/>
            <w:vMerge w:val="restart"/>
            <w:shd w:val="clear" w:color="auto" w:fill="auto"/>
            <w:vAlign w:val="center"/>
          </w:tcPr>
          <w:p>
            <w:pPr>
              <w:pStyle w:val="14"/>
              <w:bidi w:val="0"/>
              <w:rPr>
                <w:lang w:eastAsia="en-US"/>
              </w:rPr>
            </w:pPr>
            <w:r>
              <w:rPr>
                <w:rFonts w:hint="eastAsia"/>
                <w:lang w:val="en-US" w:eastAsia="zh-CN"/>
              </w:rPr>
              <w:t>公园绿地</w:t>
            </w:r>
            <w:r>
              <w:rPr>
                <w:rFonts w:hint="eastAsia"/>
              </w:rPr>
              <w:t>项目</w:t>
            </w:r>
          </w:p>
        </w:tc>
        <w:tc>
          <w:tcPr>
            <w:tcW w:w="5386" w:type="dxa"/>
            <w:shd w:val="clear" w:color="auto" w:fill="auto"/>
            <w:vAlign w:val="center"/>
          </w:tcPr>
          <w:p>
            <w:pPr>
              <w:pStyle w:val="14"/>
              <w:bidi w:val="0"/>
            </w:pPr>
            <w:r>
              <w:rPr>
                <w:rFonts w:hint="eastAsia"/>
              </w:rPr>
              <w:t>1）</w:t>
            </w:r>
            <w:r>
              <w:t>雨污分流排放，旱天无污水、废水直排现象</w:t>
            </w:r>
          </w:p>
        </w:tc>
        <w:tc>
          <w:tcPr>
            <w:tcW w:w="567" w:type="dxa"/>
            <w:shd w:val="clear" w:color="auto" w:fill="auto"/>
            <w:vAlign w:val="center"/>
          </w:tcPr>
          <w:p>
            <w:pPr>
              <w:pStyle w:val="14"/>
              <w:bidi w:val="0"/>
              <w:rPr>
                <w:lang w:eastAsia="zh-TW"/>
              </w:rPr>
            </w:pPr>
            <w:r>
              <w:rPr>
                <w:rFonts w:hint="eastAsia"/>
              </w:rPr>
              <w:t>5</w:t>
            </w:r>
          </w:p>
        </w:tc>
        <w:tc>
          <w:tcPr>
            <w:tcW w:w="567" w:type="dxa"/>
            <w:vMerge w:val="restart"/>
            <w:shd w:val="clear" w:color="auto" w:fill="auto"/>
            <w:vAlign w:val="center"/>
          </w:tcPr>
          <w:p>
            <w:pPr>
              <w:pStyle w:val="14"/>
              <w:bidi w:val="0"/>
            </w:pPr>
            <w:r>
              <w:rPr>
                <w:rFonts w:hint="eastAsi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pPr>
            <w:r>
              <w:rPr>
                <w:rFonts w:hint="eastAsia"/>
              </w:rPr>
              <w:t>2）内涝设计重现期标准降雨情况下，地下空间底层</w:t>
            </w:r>
            <w:r>
              <w:t>无进水现象</w:t>
            </w:r>
            <w:r>
              <w:rPr>
                <w:rFonts w:hint="eastAsia"/>
              </w:rPr>
              <w:t>；绿地具有调蓄功能，周边道路</w:t>
            </w:r>
            <w:r>
              <w:t>积水深度不超过15cm</w:t>
            </w:r>
          </w:p>
        </w:tc>
        <w:tc>
          <w:tcPr>
            <w:tcW w:w="567" w:type="dxa"/>
            <w:shd w:val="clear" w:color="auto" w:fill="auto"/>
            <w:vAlign w:val="center"/>
          </w:tcPr>
          <w:p>
            <w:pPr>
              <w:pStyle w:val="14"/>
              <w:bidi w:val="0"/>
              <w:rPr>
                <w:lang w:val="zh-TW" w:eastAsia="zh-TW"/>
              </w:rPr>
            </w:pPr>
            <w:r>
              <w:rPr>
                <w:rFonts w:hint="eastAsia"/>
              </w:rPr>
              <w:t>5</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vAlign w:val="center"/>
          </w:tcPr>
          <w:p>
            <w:pPr>
              <w:pStyle w:val="14"/>
              <w:bidi w:val="0"/>
              <w:rPr>
                <w:lang w:eastAsia="en-US"/>
              </w:rPr>
            </w:pPr>
          </w:p>
        </w:tc>
        <w:tc>
          <w:tcPr>
            <w:tcW w:w="5386" w:type="dxa"/>
            <w:shd w:val="clear" w:color="auto" w:fill="auto"/>
            <w:vAlign w:val="center"/>
          </w:tcPr>
          <w:p>
            <w:pPr>
              <w:pStyle w:val="14"/>
              <w:bidi w:val="0"/>
            </w:pPr>
            <w:r>
              <w:rPr>
                <w:rFonts w:hint="eastAsia"/>
              </w:rPr>
              <w:t>3）渗透塘、湿塘、雨水湿地、调节塘及其进水口、溢流排水口、前置塘、排空管等及时清理、无沉积物和废弃物，调节塘积水在24h内全部排空</w:t>
            </w:r>
          </w:p>
        </w:tc>
        <w:tc>
          <w:tcPr>
            <w:tcW w:w="567" w:type="dxa"/>
            <w:shd w:val="clear" w:color="auto" w:fill="auto"/>
            <w:vAlign w:val="center"/>
          </w:tcPr>
          <w:p>
            <w:pPr>
              <w:pStyle w:val="14"/>
              <w:bidi w:val="0"/>
            </w:pPr>
            <w:r>
              <w:rPr>
                <w:rFonts w:hint="eastAsia"/>
              </w:rPr>
              <w:t>5</w:t>
            </w:r>
          </w:p>
        </w:tc>
        <w:tc>
          <w:tcPr>
            <w:tcW w:w="567" w:type="dxa"/>
            <w:vMerge w:val="continue"/>
            <w:shd w:val="clear" w:color="auto" w:fill="auto"/>
            <w:vAlign w:val="center"/>
          </w:tcPr>
          <w:p>
            <w:pPr>
              <w:pStyle w:val="14"/>
              <w:bidi w:val="0"/>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bidi w:val="0"/>
              <w:rPr>
                <w:lang w:eastAsia="en-US"/>
              </w:rPr>
            </w:pPr>
          </w:p>
        </w:tc>
        <w:tc>
          <w:tcPr>
            <w:tcW w:w="1134" w:type="dxa"/>
            <w:vMerge w:val="continue"/>
            <w:shd w:val="clear" w:color="auto" w:fill="auto"/>
          </w:tcPr>
          <w:p>
            <w:pPr>
              <w:pStyle w:val="14"/>
              <w:bidi w:val="0"/>
              <w:rPr>
                <w:lang w:eastAsia="en-US"/>
              </w:rPr>
            </w:pPr>
          </w:p>
        </w:tc>
        <w:tc>
          <w:tcPr>
            <w:tcW w:w="5386" w:type="dxa"/>
            <w:shd w:val="clear" w:color="auto" w:fill="auto"/>
            <w:vAlign w:val="center"/>
          </w:tcPr>
          <w:p>
            <w:pPr>
              <w:pStyle w:val="14"/>
              <w:bidi w:val="0"/>
            </w:pPr>
            <w:r>
              <w:rPr>
                <w:rFonts w:hint="eastAsia"/>
              </w:rPr>
              <w:t>4</w:t>
            </w:r>
            <w:r>
              <w:rPr>
                <w:lang w:val="zh-TW" w:eastAsia="zh-TW"/>
              </w:rPr>
              <w:t>）</w:t>
            </w:r>
            <w:r>
              <w:rPr>
                <w:rFonts w:hint="eastAsia"/>
              </w:rPr>
              <w:t>设置</w:t>
            </w:r>
            <w:r>
              <w:rPr>
                <w:rFonts w:hint="eastAsia"/>
                <w:lang w:eastAsia="zh-CN"/>
              </w:rPr>
              <w:t>径流污染</w:t>
            </w:r>
            <w:r>
              <w:rPr>
                <w:rFonts w:hint="eastAsia"/>
              </w:rPr>
              <w:t>削减设施，硬化路面初期雨水通过绿色设施净化后排放</w:t>
            </w:r>
          </w:p>
        </w:tc>
        <w:tc>
          <w:tcPr>
            <w:tcW w:w="567" w:type="dxa"/>
            <w:shd w:val="clear" w:color="auto" w:fill="auto"/>
            <w:vAlign w:val="center"/>
          </w:tcPr>
          <w:p>
            <w:pPr>
              <w:pStyle w:val="14"/>
              <w:bidi w:val="0"/>
              <w:rPr>
                <w:lang w:val="zh-TW" w:eastAsia="zh-TW"/>
              </w:rPr>
            </w:pPr>
            <w:r>
              <w:rPr>
                <w:rFonts w:hint="eastAsia"/>
              </w:rPr>
              <w:t>5</w:t>
            </w:r>
          </w:p>
        </w:tc>
        <w:tc>
          <w:tcPr>
            <w:tcW w:w="567" w:type="dxa"/>
            <w:vMerge w:val="continue"/>
            <w:shd w:val="clear" w:color="auto" w:fill="auto"/>
          </w:tcPr>
          <w:p>
            <w:pPr>
              <w:pStyle w:val="14"/>
              <w:bidi w:val="0"/>
              <w:rPr>
                <w:lang w:val="zh-TW" w:eastAsia="zh-TW"/>
              </w:rPr>
            </w:pPr>
          </w:p>
        </w:tc>
      </w:tr>
    </w:tbl>
    <w:p>
      <w:pPr>
        <w:rPr>
          <w:szCs w:val="32"/>
        </w:rPr>
      </w:pPr>
      <w:r>
        <w:rPr>
          <w:rFonts w:hint="eastAsia"/>
          <w:szCs w:val="32"/>
        </w:rPr>
        <w:br w:type="page"/>
      </w:r>
    </w:p>
    <w:p>
      <w:pPr>
        <w:pStyle w:val="13"/>
      </w:pPr>
      <w:r>
        <w:rPr>
          <w:rFonts w:hint="eastAsia"/>
        </w:rPr>
        <w:t>Ⅲ公众参与程度评价（1</w:t>
      </w:r>
      <w:r>
        <w:rPr>
          <w:rFonts w:hint="eastAsia"/>
          <w:lang w:val="en-US" w:eastAsia="zh-CN"/>
        </w:rPr>
        <w:t>0</w:t>
      </w:r>
      <w:r>
        <w:rPr>
          <w:rFonts w:hint="eastAsia"/>
        </w:rPr>
        <w:t>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7"/>
        <w:gridCol w:w="1133"/>
        <w:gridCol w:w="538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567" w:type="dxa"/>
            <w:vMerge w:val="restart"/>
            <w:shd w:val="clear" w:color="auto" w:fill="auto"/>
            <w:vAlign w:val="center"/>
          </w:tcPr>
          <w:p>
            <w:pPr>
              <w:pStyle w:val="14"/>
              <w:rPr>
                <w:lang w:val="zh-TW" w:eastAsia="zh-TW"/>
              </w:rPr>
            </w:pPr>
            <w:r>
              <w:rPr>
                <w:lang w:val="zh-TW" w:eastAsia="zh-TW"/>
              </w:rPr>
              <w:t>序号</w:t>
            </w:r>
          </w:p>
        </w:tc>
        <w:tc>
          <w:tcPr>
            <w:tcW w:w="6520" w:type="dxa"/>
            <w:gridSpan w:val="2"/>
            <w:vMerge w:val="restart"/>
            <w:shd w:val="clear" w:color="auto" w:fill="auto"/>
            <w:vAlign w:val="center"/>
          </w:tcPr>
          <w:p>
            <w:pPr>
              <w:pStyle w:val="14"/>
              <w:rPr>
                <w:lang w:val="zh-TW" w:eastAsia="zh-TW"/>
              </w:rPr>
            </w:pPr>
            <w:r>
              <w:rPr>
                <w:lang w:val="zh-TW" w:eastAsia="zh-TW"/>
              </w:rPr>
              <w:t>评价标准</w:t>
            </w:r>
          </w:p>
        </w:tc>
        <w:tc>
          <w:tcPr>
            <w:tcW w:w="1134" w:type="dxa"/>
            <w:gridSpan w:val="2"/>
            <w:shd w:val="clear" w:color="auto" w:fill="auto"/>
            <w:vAlign w:val="center"/>
          </w:tcPr>
          <w:p>
            <w:pPr>
              <w:pStyle w:val="14"/>
              <w:rPr>
                <w:lang w:val="zh-TW" w:eastAsia="zh-TW"/>
              </w:rPr>
            </w:pPr>
            <w:r>
              <w:rPr>
                <w:lang w:val="zh-TW" w:eastAsia="zh-TW"/>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tblHeader/>
          <w:jc w:val="center"/>
        </w:trPr>
        <w:tc>
          <w:tcPr>
            <w:tcW w:w="567" w:type="dxa"/>
            <w:vMerge w:val="continue"/>
            <w:shd w:val="clear" w:color="auto" w:fill="auto"/>
            <w:vAlign w:val="center"/>
          </w:tcPr>
          <w:p>
            <w:pPr>
              <w:pStyle w:val="14"/>
              <w:rPr>
                <w:lang w:eastAsia="en-US"/>
              </w:rPr>
            </w:pPr>
          </w:p>
        </w:tc>
        <w:tc>
          <w:tcPr>
            <w:tcW w:w="6520" w:type="dxa"/>
            <w:gridSpan w:val="2"/>
            <w:vMerge w:val="continue"/>
            <w:shd w:val="clear" w:color="auto" w:fill="auto"/>
            <w:vAlign w:val="center"/>
          </w:tcPr>
          <w:p>
            <w:pPr>
              <w:pStyle w:val="14"/>
              <w:rPr>
                <w:lang w:eastAsia="en-US"/>
              </w:rPr>
            </w:pPr>
          </w:p>
        </w:tc>
        <w:tc>
          <w:tcPr>
            <w:tcW w:w="567" w:type="dxa"/>
            <w:shd w:val="clear" w:color="auto" w:fill="auto"/>
            <w:vAlign w:val="center"/>
          </w:tcPr>
          <w:p>
            <w:pPr>
              <w:pStyle w:val="14"/>
              <w:rPr>
                <w:lang w:val="zh-TW" w:eastAsia="zh-TW"/>
              </w:rPr>
            </w:pPr>
            <w:r>
              <w:rPr>
                <w:lang w:val="zh-TW" w:eastAsia="zh-TW"/>
              </w:rPr>
              <w:t>评分</w:t>
            </w:r>
          </w:p>
        </w:tc>
        <w:tc>
          <w:tcPr>
            <w:tcW w:w="567" w:type="dxa"/>
            <w:shd w:val="clear" w:color="auto" w:fill="auto"/>
            <w:vAlign w:val="center"/>
          </w:tcPr>
          <w:p>
            <w:pPr>
              <w:pStyle w:val="14"/>
              <w:rPr>
                <w:lang w:val="zh-TW" w:eastAsia="zh-TW"/>
              </w:rPr>
            </w:pPr>
            <w:r>
              <w:rPr>
                <w:lang w:val="zh-TW" w:eastAsia="zh-TW"/>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restart"/>
            <w:shd w:val="clear" w:color="auto" w:fill="auto"/>
            <w:vAlign w:val="center"/>
          </w:tcPr>
          <w:p>
            <w:pPr>
              <w:pStyle w:val="14"/>
              <w:rPr>
                <w:rFonts w:hint="default" w:eastAsia="宋体"/>
                <w:lang w:val="en-US" w:eastAsia="zh-CN"/>
              </w:rPr>
            </w:pPr>
            <w:r>
              <w:rPr>
                <w:rFonts w:hint="eastAsia"/>
                <w:lang w:val="en-US" w:eastAsia="zh-CN"/>
              </w:rPr>
              <w:t>12</w:t>
            </w:r>
          </w:p>
        </w:tc>
        <w:tc>
          <w:tcPr>
            <w:tcW w:w="1133" w:type="dxa"/>
            <w:vMerge w:val="restart"/>
            <w:shd w:val="clear" w:color="auto" w:fill="auto"/>
            <w:vAlign w:val="center"/>
          </w:tcPr>
          <w:p>
            <w:pPr>
              <w:pStyle w:val="14"/>
              <w:rPr>
                <w:rFonts w:hint="default" w:eastAsia="宋体"/>
                <w:lang w:val="en-US" w:eastAsia="zh-CN"/>
              </w:rPr>
            </w:pPr>
            <w:r>
              <w:rPr>
                <w:rFonts w:hint="eastAsia"/>
              </w:rPr>
              <w:t>加强宣传教育</w:t>
            </w:r>
            <w:r>
              <w:rPr>
                <w:rFonts w:hint="eastAsia"/>
                <w:lang w:val="en-US" w:eastAsia="zh-CN"/>
              </w:rPr>
              <w:t>和互动</w:t>
            </w:r>
          </w:p>
        </w:tc>
        <w:tc>
          <w:tcPr>
            <w:tcW w:w="5387" w:type="dxa"/>
            <w:shd w:val="clear" w:color="auto" w:fill="auto"/>
            <w:vAlign w:val="center"/>
          </w:tcPr>
          <w:p>
            <w:pPr>
              <w:pStyle w:val="14"/>
            </w:pPr>
            <w:r>
              <w:rPr>
                <w:rFonts w:hint="eastAsia"/>
              </w:rPr>
              <w:t>制作海绵城市相关宣传手册、科普视频等宣传资料，设置海绵城市相关标识标牌、宣传专栏</w:t>
            </w:r>
          </w:p>
        </w:tc>
        <w:tc>
          <w:tcPr>
            <w:tcW w:w="567" w:type="dxa"/>
            <w:shd w:val="clear" w:color="auto" w:fill="auto"/>
            <w:vAlign w:val="center"/>
          </w:tcPr>
          <w:p>
            <w:pPr>
              <w:pStyle w:val="14"/>
            </w:pPr>
            <w:r>
              <w:t>2</w:t>
            </w:r>
          </w:p>
        </w:tc>
        <w:tc>
          <w:tcPr>
            <w:tcW w:w="567" w:type="dxa"/>
            <w:vMerge w:val="restart"/>
            <w:shd w:val="clear" w:color="auto" w:fill="auto"/>
            <w:vAlign w:val="center"/>
          </w:tcPr>
          <w:p>
            <w:pPr>
              <w:pStyle w:val="14"/>
              <w:rPr>
                <w:rFonts w:hint="eastAsia" w:eastAsia="宋体"/>
                <w:lang w:eastAsia="zh-CN"/>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rPr>
                <w:rFonts w:hint="eastAsia"/>
              </w:rPr>
            </w:pPr>
          </w:p>
        </w:tc>
        <w:tc>
          <w:tcPr>
            <w:tcW w:w="1133" w:type="dxa"/>
            <w:vMerge w:val="continue"/>
            <w:shd w:val="clear" w:color="auto" w:fill="auto"/>
            <w:vAlign w:val="center"/>
          </w:tcPr>
          <w:p>
            <w:pPr>
              <w:pStyle w:val="14"/>
              <w:rPr>
                <w:rFonts w:hint="eastAsia"/>
              </w:rPr>
            </w:pPr>
          </w:p>
        </w:tc>
        <w:tc>
          <w:tcPr>
            <w:tcW w:w="5387" w:type="dxa"/>
            <w:shd w:val="clear" w:color="auto" w:fill="auto"/>
            <w:vAlign w:val="center"/>
          </w:tcPr>
          <w:p>
            <w:pPr>
              <w:pStyle w:val="14"/>
              <w:rPr>
                <w:rFonts w:hint="default" w:eastAsia="宋体"/>
                <w:lang w:val="en-US" w:eastAsia="zh-CN"/>
              </w:rPr>
            </w:pPr>
            <w:r>
              <w:rPr>
                <w:rFonts w:hint="eastAsia"/>
                <w:lang w:val="en-US" w:eastAsia="zh-CN"/>
              </w:rPr>
              <w:t>增加海绵城市互动设施</w:t>
            </w:r>
          </w:p>
        </w:tc>
        <w:tc>
          <w:tcPr>
            <w:tcW w:w="567" w:type="dxa"/>
            <w:shd w:val="clear" w:color="auto" w:fill="auto"/>
            <w:vAlign w:val="center"/>
          </w:tcPr>
          <w:p>
            <w:pPr>
              <w:pStyle w:val="14"/>
              <w:rPr>
                <w:rFonts w:hint="eastAsia" w:eastAsia="宋体"/>
                <w:lang w:val="en-US" w:eastAsia="zh-CN"/>
              </w:rPr>
            </w:pPr>
            <w:r>
              <w:rPr>
                <w:rFonts w:hint="eastAsia"/>
                <w:lang w:val="en-US" w:eastAsia="zh-CN"/>
              </w:rPr>
              <w:t>2</w:t>
            </w:r>
          </w:p>
        </w:tc>
        <w:tc>
          <w:tcPr>
            <w:tcW w:w="567" w:type="dxa"/>
            <w:vMerge w:val="continue"/>
            <w:shd w:val="clear" w:color="auto" w:fill="auto"/>
            <w:vAlign w:val="center"/>
          </w:tcPr>
          <w:p>
            <w:pPr>
              <w:pStyle w:val="14"/>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restart"/>
            <w:shd w:val="clear" w:color="auto" w:fill="auto"/>
            <w:vAlign w:val="center"/>
          </w:tcPr>
          <w:p>
            <w:pPr>
              <w:pStyle w:val="14"/>
              <w:rPr>
                <w:rFonts w:hint="default" w:eastAsia="宋体"/>
                <w:lang w:val="en-US" w:eastAsia="zh-CN"/>
              </w:rPr>
            </w:pPr>
            <w:r>
              <w:rPr>
                <w:rFonts w:hint="eastAsia"/>
                <w:lang w:val="en-US" w:eastAsia="zh-CN"/>
              </w:rPr>
              <w:t>13</w:t>
            </w:r>
          </w:p>
        </w:tc>
        <w:tc>
          <w:tcPr>
            <w:tcW w:w="1133" w:type="dxa"/>
            <w:vMerge w:val="restart"/>
            <w:shd w:val="clear" w:color="auto" w:fill="auto"/>
            <w:vAlign w:val="center"/>
          </w:tcPr>
          <w:p>
            <w:pPr>
              <w:pStyle w:val="14"/>
            </w:pPr>
            <w:r>
              <w:t>满意度评价</w:t>
            </w:r>
            <w:r>
              <w:rPr>
                <w:rFonts w:hint="eastAsia"/>
              </w:rPr>
              <w:t>（</w:t>
            </w:r>
            <w:r>
              <w:t>评价样本量不少于30份</w:t>
            </w:r>
            <w:r>
              <w:rPr>
                <w:rFonts w:hint="eastAsia"/>
              </w:rPr>
              <w:t>）</w:t>
            </w:r>
          </w:p>
        </w:tc>
        <w:tc>
          <w:tcPr>
            <w:tcW w:w="5387" w:type="dxa"/>
            <w:shd w:val="clear" w:color="auto" w:fill="auto"/>
            <w:vAlign w:val="center"/>
          </w:tcPr>
          <w:p>
            <w:pPr>
              <w:pStyle w:val="14"/>
              <w:rPr>
                <w:lang w:val="zh-TW"/>
              </w:rPr>
            </w:pPr>
            <w:r>
              <w:t>1</w:t>
            </w:r>
            <w:r>
              <w:rPr>
                <w:rFonts w:hint="eastAsia"/>
              </w:rPr>
              <w:t>）公众对</w:t>
            </w:r>
            <w:r>
              <w:rPr>
                <w:rFonts w:hint="eastAsia"/>
                <w:lang w:eastAsia="zh-CN"/>
              </w:rPr>
              <w:t>海绵城市设施</w:t>
            </w:r>
            <w:r>
              <w:rPr>
                <w:rFonts w:hint="eastAsia"/>
              </w:rPr>
              <w:t>满意度</w:t>
            </w:r>
            <w:r>
              <w:rPr>
                <w:rFonts w:hint="eastAsia"/>
                <w:lang w:val="en-US" w:eastAsia="zh-CN"/>
              </w:rPr>
              <w:t>≥6</w:t>
            </w:r>
            <w:r>
              <w:rPr>
                <w:rFonts w:hint="eastAsia"/>
              </w:rPr>
              <w:t>0%</w:t>
            </w:r>
          </w:p>
        </w:tc>
        <w:tc>
          <w:tcPr>
            <w:tcW w:w="567" w:type="dxa"/>
            <w:shd w:val="clear" w:color="auto" w:fill="auto"/>
            <w:vAlign w:val="center"/>
          </w:tcPr>
          <w:p>
            <w:pPr>
              <w:pStyle w:val="14"/>
              <w:rPr>
                <w:rFonts w:hint="eastAsia" w:eastAsia="宋体"/>
                <w:lang w:val="zh-TW" w:eastAsia="zh-CN"/>
              </w:rPr>
            </w:pPr>
            <w:r>
              <w:rPr>
                <w:rFonts w:hint="eastAsia"/>
                <w:lang w:val="en-US" w:eastAsia="zh-CN"/>
              </w:rPr>
              <w:t>2</w:t>
            </w:r>
          </w:p>
        </w:tc>
        <w:tc>
          <w:tcPr>
            <w:tcW w:w="567" w:type="dxa"/>
            <w:vMerge w:val="restart"/>
            <w:shd w:val="clear" w:color="auto" w:fill="auto"/>
            <w:vAlign w:val="center"/>
          </w:tcPr>
          <w:p>
            <w:pPr>
              <w:pStyle w:val="14"/>
              <w:rPr>
                <w:lang w:val="zh-TW" w:eastAsia="zh-TW"/>
              </w:rPr>
            </w:pPr>
            <w:r>
              <w:rPr>
                <w:rFonts w:hint="eastAsi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rPr>
                <w:lang w:eastAsia="en-US"/>
              </w:rPr>
            </w:pPr>
          </w:p>
        </w:tc>
        <w:tc>
          <w:tcPr>
            <w:tcW w:w="1133" w:type="dxa"/>
            <w:vMerge w:val="continue"/>
            <w:shd w:val="clear" w:color="auto" w:fill="auto"/>
            <w:vAlign w:val="center"/>
          </w:tcPr>
          <w:p>
            <w:pPr>
              <w:pStyle w:val="14"/>
              <w:rPr>
                <w:lang w:eastAsia="en-US"/>
              </w:rPr>
            </w:pPr>
          </w:p>
        </w:tc>
        <w:tc>
          <w:tcPr>
            <w:tcW w:w="5387" w:type="dxa"/>
            <w:shd w:val="clear" w:color="auto" w:fill="auto"/>
            <w:vAlign w:val="center"/>
          </w:tcPr>
          <w:p>
            <w:pPr>
              <w:pStyle w:val="14"/>
              <w:rPr>
                <w:lang w:val="zh-TW"/>
              </w:rPr>
            </w:pPr>
            <w:r>
              <w:t>2</w:t>
            </w:r>
            <w:r>
              <w:rPr>
                <w:rFonts w:hint="eastAsia"/>
              </w:rPr>
              <w:t>）公众对</w:t>
            </w:r>
            <w:r>
              <w:rPr>
                <w:rFonts w:hint="eastAsia"/>
                <w:lang w:eastAsia="zh-CN"/>
              </w:rPr>
              <w:t>海绵城市设施</w:t>
            </w:r>
            <w:r>
              <w:rPr>
                <w:rFonts w:hint="eastAsia"/>
              </w:rPr>
              <w:t>满意度</w:t>
            </w:r>
            <w:r>
              <w:rPr>
                <w:rFonts w:hint="eastAsia"/>
                <w:lang w:val="en-US" w:eastAsia="zh-CN"/>
              </w:rPr>
              <w:t>≥</w:t>
            </w:r>
            <w:r>
              <w:rPr>
                <w:rFonts w:hint="eastAsia"/>
              </w:rPr>
              <w:t>80%</w:t>
            </w:r>
          </w:p>
        </w:tc>
        <w:tc>
          <w:tcPr>
            <w:tcW w:w="567" w:type="dxa"/>
            <w:shd w:val="clear" w:color="auto" w:fill="auto"/>
            <w:vAlign w:val="center"/>
          </w:tcPr>
          <w:p>
            <w:pPr>
              <w:pStyle w:val="14"/>
              <w:rPr>
                <w:lang w:val="zh-TW" w:eastAsia="zh-TW"/>
              </w:rPr>
            </w:pPr>
            <w:r>
              <w:rPr>
                <w:rFonts w:hint="eastAsia"/>
              </w:rPr>
              <w:t>4</w:t>
            </w:r>
          </w:p>
        </w:tc>
        <w:tc>
          <w:tcPr>
            <w:tcW w:w="567" w:type="dxa"/>
            <w:vMerge w:val="continue"/>
            <w:shd w:val="clear" w:color="auto" w:fill="auto"/>
            <w:vAlign w:val="center"/>
          </w:tcPr>
          <w:p>
            <w:pPr>
              <w:pStyle w:val="14"/>
              <w:rPr>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tblHeader/>
          <w:jc w:val="center"/>
        </w:trPr>
        <w:tc>
          <w:tcPr>
            <w:tcW w:w="567" w:type="dxa"/>
            <w:vMerge w:val="continue"/>
            <w:shd w:val="clear" w:color="auto" w:fill="auto"/>
            <w:vAlign w:val="center"/>
          </w:tcPr>
          <w:p>
            <w:pPr>
              <w:pStyle w:val="14"/>
              <w:rPr>
                <w:lang w:eastAsia="en-US"/>
              </w:rPr>
            </w:pPr>
          </w:p>
        </w:tc>
        <w:tc>
          <w:tcPr>
            <w:tcW w:w="1133" w:type="dxa"/>
            <w:vMerge w:val="continue"/>
            <w:shd w:val="clear" w:color="auto" w:fill="auto"/>
            <w:vAlign w:val="center"/>
          </w:tcPr>
          <w:p>
            <w:pPr>
              <w:pStyle w:val="14"/>
              <w:rPr>
                <w:lang w:eastAsia="en-US"/>
              </w:rPr>
            </w:pPr>
          </w:p>
        </w:tc>
        <w:tc>
          <w:tcPr>
            <w:tcW w:w="5387" w:type="dxa"/>
            <w:shd w:val="clear" w:color="auto" w:fill="auto"/>
            <w:vAlign w:val="center"/>
          </w:tcPr>
          <w:p>
            <w:pPr>
              <w:pStyle w:val="14"/>
              <w:rPr>
                <w:lang w:val="zh-TW"/>
              </w:rPr>
            </w:pPr>
            <w:r>
              <w:t>3</w:t>
            </w:r>
            <w:r>
              <w:rPr>
                <w:rFonts w:hint="eastAsia"/>
              </w:rPr>
              <w:t>）公众对</w:t>
            </w:r>
            <w:r>
              <w:rPr>
                <w:rFonts w:hint="eastAsia"/>
                <w:lang w:eastAsia="zh-CN"/>
              </w:rPr>
              <w:t>海绵城市设施</w:t>
            </w:r>
            <w:r>
              <w:rPr>
                <w:rFonts w:hint="eastAsia"/>
              </w:rPr>
              <w:t>满意度</w:t>
            </w:r>
            <w:r>
              <w:rPr>
                <w:rFonts w:hint="eastAsia"/>
                <w:lang w:val="en-US" w:eastAsia="zh-CN"/>
              </w:rPr>
              <w:t>≥9</w:t>
            </w:r>
            <w:r>
              <w:rPr>
                <w:rFonts w:hint="eastAsia"/>
              </w:rPr>
              <w:t>0%</w:t>
            </w:r>
          </w:p>
        </w:tc>
        <w:tc>
          <w:tcPr>
            <w:tcW w:w="567" w:type="dxa"/>
            <w:shd w:val="clear" w:color="auto" w:fill="auto"/>
            <w:vAlign w:val="center"/>
          </w:tcPr>
          <w:p>
            <w:pPr>
              <w:pStyle w:val="14"/>
              <w:rPr>
                <w:rFonts w:hint="eastAsia" w:eastAsia="宋体"/>
                <w:lang w:val="zh-TW" w:eastAsia="zh-CN"/>
              </w:rPr>
            </w:pPr>
            <w:r>
              <w:rPr>
                <w:rFonts w:hint="eastAsia"/>
                <w:lang w:val="en-US" w:eastAsia="zh-CN"/>
              </w:rPr>
              <w:t>6</w:t>
            </w:r>
          </w:p>
        </w:tc>
        <w:tc>
          <w:tcPr>
            <w:tcW w:w="567" w:type="dxa"/>
            <w:vMerge w:val="continue"/>
            <w:shd w:val="clear" w:color="auto" w:fill="auto"/>
            <w:vAlign w:val="center"/>
          </w:tcPr>
          <w:p>
            <w:pPr>
              <w:pStyle w:val="14"/>
              <w:rPr>
                <w:lang w:val="zh-TW" w:eastAsia="zh-TW"/>
              </w:rPr>
            </w:pPr>
          </w:p>
        </w:tc>
      </w:tr>
    </w:tbl>
    <w:p>
      <w:r>
        <w:rPr>
          <w:rFonts w:hint="eastAsia"/>
          <w:lang w:val="en-US" w:eastAsia="zh-CN"/>
        </w:rPr>
        <w:t>7</w:t>
      </w:r>
      <w:r>
        <w:t>.2.2海绵城市建设项目</w:t>
      </w:r>
      <w:r>
        <w:rPr>
          <w:rFonts w:hint="eastAsia"/>
          <w:lang w:eastAsia="zh-CN"/>
        </w:rPr>
        <w:t>建设效果</w:t>
      </w:r>
      <w:r>
        <w:t>的评分项评价方法应符合本标准第</w:t>
      </w:r>
      <w:r>
        <w:rPr>
          <w:rFonts w:hint="eastAsia"/>
          <w:lang w:val="en-US" w:eastAsia="zh-CN"/>
        </w:rPr>
        <w:t>4.0.7</w:t>
      </w:r>
      <w:r>
        <w:t>条的规定</w:t>
      </w:r>
      <w:r>
        <w:rPr>
          <w:rFonts w:hint="eastAsia"/>
        </w:rPr>
        <w:t>。</w:t>
      </w:r>
    </w:p>
    <w:p>
      <w:r>
        <w:rPr>
          <w:rFonts w:hint="eastAsia"/>
        </w:rPr>
        <w:br w:type="page"/>
      </w:r>
    </w:p>
    <w:p>
      <w:pPr>
        <w:pStyle w:val="2"/>
      </w:pPr>
      <w:bookmarkStart w:id="42" w:name="_Toc21882"/>
      <w:r>
        <w:rPr>
          <w:rFonts w:hint="eastAsia"/>
          <w:lang w:val="en-US" w:eastAsia="zh-CN"/>
        </w:rPr>
        <w:t>8</w:t>
      </w:r>
      <w:r>
        <w:rPr>
          <w:rFonts w:hint="eastAsia"/>
        </w:rPr>
        <w:t xml:space="preserve"> 提高与创新</w:t>
      </w:r>
      <w:bookmarkEnd w:id="42"/>
    </w:p>
    <w:p>
      <w:pPr>
        <w:pStyle w:val="3"/>
      </w:pPr>
      <w:bookmarkStart w:id="43" w:name="_Toc12421"/>
      <w:r>
        <w:rPr>
          <w:rFonts w:hint="eastAsia"/>
          <w:lang w:val="en-US" w:eastAsia="zh-CN"/>
        </w:rPr>
        <w:t>8</w:t>
      </w:r>
      <w:r>
        <w:rPr>
          <w:rFonts w:hint="eastAsia"/>
        </w:rPr>
        <w:t>.1 一般规定</w:t>
      </w:r>
      <w:bookmarkEnd w:id="43"/>
    </w:p>
    <w:p>
      <w:pPr>
        <w:rPr>
          <w:rFonts w:hint="eastAsia"/>
        </w:rPr>
      </w:pPr>
      <w:r>
        <w:rPr>
          <w:rFonts w:hint="eastAsia"/>
          <w:lang w:val="en-US" w:eastAsia="zh-CN"/>
        </w:rPr>
        <w:t>8</w:t>
      </w:r>
      <w:r>
        <w:rPr>
          <w:rFonts w:hint="eastAsia"/>
        </w:rPr>
        <w:t>.1.1每类评价对象按规定对加分项进行评价。</w:t>
      </w:r>
    </w:p>
    <w:p>
      <w:pPr>
        <w:rPr>
          <w:rFonts w:hint="eastAsia"/>
          <w:highlight w:val="none"/>
        </w:rPr>
      </w:pPr>
      <w:r>
        <w:rPr>
          <w:rFonts w:hint="eastAsia"/>
          <w:highlight w:val="none"/>
          <w:lang w:val="en-US" w:eastAsia="zh-CN"/>
        </w:rPr>
        <w:t>8</w:t>
      </w:r>
      <w:r>
        <w:rPr>
          <w:rFonts w:hint="eastAsia"/>
          <w:highlight w:val="none"/>
        </w:rPr>
        <w:t>.1.2加分项适用于建设效果评价阶段。</w:t>
      </w:r>
    </w:p>
    <w:p>
      <w:pPr>
        <w:rPr>
          <w:highlight w:val="none"/>
        </w:rPr>
      </w:pPr>
      <w:r>
        <w:rPr>
          <w:rFonts w:hint="eastAsia"/>
          <w:highlight w:val="none"/>
          <w:lang w:val="en-US" w:eastAsia="zh-CN"/>
        </w:rPr>
        <w:t>8</w:t>
      </w:r>
      <w:r>
        <w:rPr>
          <w:rFonts w:hint="eastAsia"/>
          <w:highlight w:val="none"/>
        </w:rPr>
        <w:t>.1.</w:t>
      </w:r>
      <w:r>
        <w:rPr>
          <w:rFonts w:hint="eastAsia"/>
          <w:highlight w:val="none"/>
          <w:lang w:val="en-US" w:eastAsia="zh-CN"/>
        </w:rPr>
        <w:t>3</w:t>
      </w:r>
      <w:r>
        <w:rPr>
          <w:rFonts w:hint="eastAsia"/>
          <w:highlight w:val="none"/>
        </w:rPr>
        <w:t>加分项的得分为各参评项得分之和。当得分大于</w:t>
      </w:r>
      <w:r>
        <w:rPr>
          <w:rFonts w:hint="eastAsia"/>
          <w:highlight w:val="none"/>
          <w:lang w:val="en-US" w:eastAsia="zh-CN"/>
        </w:rPr>
        <w:t>15</w:t>
      </w:r>
      <w:r>
        <w:rPr>
          <w:rFonts w:hint="eastAsia"/>
          <w:highlight w:val="none"/>
        </w:rPr>
        <w:t>分时，应取</w:t>
      </w:r>
      <w:r>
        <w:rPr>
          <w:rFonts w:hint="eastAsia"/>
          <w:highlight w:val="none"/>
          <w:lang w:val="en-US" w:eastAsia="zh-CN"/>
        </w:rPr>
        <w:t>15</w:t>
      </w:r>
      <w:r>
        <w:rPr>
          <w:rFonts w:hint="eastAsia"/>
          <w:highlight w:val="none"/>
        </w:rPr>
        <w:t>分。</w:t>
      </w:r>
    </w:p>
    <w:p>
      <w:pPr>
        <w:pStyle w:val="3"/>
        <w:rPr>
          <w:rFonts w:hint="eastAsia"/>
          <w:highlight w:val="none"/>
        </w:rPr>
      </w:pPr>
      <w:bookmarkStart w:id="44" w:name="_Toc17674"/>
      <w:r>
        <w:rPr>
          <w:rFonts w:hint="eastAsia"/>
          <w:highlight w:val="none"/>
          <w:lang w:val="en-US" w:eastAsia="zh-CN"/>
        </w:rPr>
        <w:t>8</w:t>
      </w:r>
      <w:r>
        <w:rPr>
          <w:rFonts w:hint="eastAsia"/>
          <w:highlight w:val="none"/>
        </w:rPr>
        <w:t>.2 加分项</w:t>
      </w:r>
      <w:bookmarkEnd w:id="44"/>
    </w:p>
    <w:p>
      <w:pPr>
        <w:rPr>
          <w:rFonts w:hint="eastAsia"/>
          <w:highlight w:val="none"/>
        </w:rPr>
      </w:pPr>
      <w:r>
        <w:rPr>
          <w:rFonts w:hint="eastAsia"/>
          <w:highlight w:val="none"/>
          <w:lang w:val="en-US" w:eastAsia="zh-CN"/>
        </w:rPr>
        <w:t>8.2.1项目的设计、施工、设施具有先进性，作为优秀案例推广，</w:t>
      </w:r>
      <w:r>
        <w:rPr>
          <w:rFonts w:hint="eastAsia"/>
          <w:highlight w:val="none"/>
        </w:rPr>
        <w:t>评价分值为</w:t>
      </w:r>
      <w:r>
        <w:rPr>
          <w:rFonts w:hint="eastAsia"/>
          <w:highlight w:val="none"/>
          <w:lang w:val="en-US" w:eastAsia="zh-CN"/>
        </w:rPr>
        <w:t>3</w:t>
      </w:r>
      <w:r>
        <w:rPr>
          <w:rFonts w:hint="eastAsia"/>
          <w:highlight w:val="none"/>
        </w:rPr>
        <w:t>分。</w:t>
      </w:r>
    </w:p>
    <w:p>
      <w:pPr>
        <w:rPr>
          <w:rFonts w:hint="eastAsia"/>
          <w:highlight w:val="none"/>
          <w:lang w:val="en-US" w:eastAsia="zh-CN"/>
        </w:rPr>
      </w:pPr>
      <w:r>
        <w:rPr>
          <w:rFonts w:hint="eastAsia"/>
          <w:highlight w:val="none"/>
          <w:lang w:val="en-US" w:eastAsia="zh-CN"/>
        </w:rPr>
        <w:t>8.2.2项目海绵设计、施工和红线外代征绿地一体设计、一体施工，</w:t>
      </w:r>
      <w:r>
        <w:rPr>
          <w:rFonts w:hint="eastAsia"/>
          <w:highlight w:val="none"/>
        </w:rPr>
        <w:t>评价分值为2分。</w:t>
      </w:r>
    </w:p>
    <w:p>
      <w:pPr>
        <w:rPr>
          <w:highlight w:val="none"/>
        </w:rPr>
      </w:pPr>
      <w:r>
        <w:rPr>
          <w:rFonts w:hint="eastAsia"/>
          <w:highlight w:val="none"/>
          <w:lang w:val="en-US" w:eastAsia="zh-CN"/>
        </w:rPr>
        <w:t>8</w:t>
      </w:r>
      <w:r>
        <w:rPr>
          <w:rFonts w:hint="eastAsia"/>
          <w:highlight w:val="none"/>
        </w:rPr>
        <w:t>.2.</w:t>
      </w:r>
      <w:r>
        <w:rPr>
          <w:rFonts w:hint="eastAsia"/>
          <w:highlight w:val="none"/>
          <w:lang w:val="en-US" w:eastAsia="zh-CN"/>
        </w:rPr>
        <w:t>3</w:t>
      </w:r>
      <w:r>
        <w:rPr>
          <w:rFonts w:hint="eastAsia"/>
          <w:highlight w:val="none"/>
        </w:rPr>
        <w:t>绿地功能完善，</w:t>
      </w:r>
      <w:r>
        <w:rPr>
          <w:rFonts w:hint="eastAsia"/>
          <w:highlight w:val="none"/>
          <w:lang w:eastAsia="zh-CN"/>
        </w:rPr>
        <w:t>海绵城市设施</w:t>
      </w:r>
      <w:r>
        <w:rPr>
          <w:rFonts w:hint="eastAsia"/>
          <w:highlight w:val="none"/>
        </w:rPr>
        <w:t>与场地景观融合性高，具备良好的体验感，有效</w:t>
      </w:r>
      <w:r>
        <w:rPr>
          <w:rFonts w:hint="eastAsia"/>
          <w:highlight w:val="none"/>
          <w:lang w:eastAsia="zh-CN"/>
        </w:rPr>
        <w:t>地</w:t>
      </w:r>
      <w:r>
        <w:rPr>
          <w:rFonts w:hint="eastAsia"/>
          <w:highlight w:val="none"/>
        </w:rPr>
        <w:t>改善了城市生态环境，提升人民生活品质，评价分值为</w:t>
      </w:r>
      <w:r>
        <w:rPr>
          <w:rFonts w:hint="eastAsia"/>
          <w:highlight w:val="none"/>
          <w:lang w:val="en-US" w:eastAsia="zh-CN"/>
        </w:rPr>
        <w:t>3</w:t>
      </w:r>
      <w:r>
        <w:rPr>
          <w:rFonts w:hint="eastAsia"/>
          <w:highlight w:val="none"/>
        </w:rPr>
        <w:t>分。</w:t>
      </w:r>
    </w:p>
    <w:p>
      <w:pPr>
        <w:rPr>
          <w:rFonts w:hint="eastAsia"/>
          <w:highlight w:val="none"/>
        </w:rPr>
      </w:pPr>
      <w:r>
        <w:rPr>
          <w:rFonts w:hint="eastAsia"/>
          <w:highlight w:val="none"/>
          <w:lang w:val="en-US" w:eastAsia="zh-CN"/>
        </w:rPr>
        <w:t>8</w:t>
      </w:r>
      <w:r>
        <w:rPr>
          <w:rFonts w:hint="eastAsia"/>
          <w:highlight w:val="none"/>
        </w:rPr>
        <w:t>.2.</w:t>
      </w:r>
      <w:r>
        <w:rPr>
          <w:rFonts w:hint="eastAsia"/>
          <w:highlight w:val="none"/>
          <w:lang w:val="en-US" w:eastAsia="zh-CN"/>
        </w:rPr>
        <w:t>4</w:t>
      </w:r>
      <w:r>
        <w:rPr>
          <w:rFonts w:hint="eastAsia"/>
          <w:highlight w:val="none"/>
          <w:lang w:eastAsia="zh-CN"/>
        </w:rPr>
        <w:t>海绵城市设施</w:t>
      </w:r>
      <w:r>
        <w:rPr>
          <w:rFonts w:hint="eastAsia"/>
          <w:highlight w:val="none"/>
        </w:rPr>
        <w:t>具备</w:t>
      </w:r>
      <w:r>
        <w:rPr>
          <w:rFonts w:hint="eastAsia"/>
          <w:highlight w:val="none"/>
          <w:lang w:val="en-US" w:eastAsia="zh-CN"/>
        </w:rPr>
        <w:t>平急两用功能，</w:t>
      </w:r>
      <w:r>
        <w:rPr>
          <w:rFonts w:hint="eastAsia"/>
          <w:highlight w:val="none"/>
        </w:rPr>
        <w:t>非雨季用于老人休闲、儿童娱乐，评价分值为</w:t>
      </w:r>
      <w:r>
        <w:rPr>
          <w:rFonts w:hint="eastAsia"/>
          <w:highlight w:val="none"/>
          <w:lang w:val="en-US" w:eastAsia="zh-CN"/>
        </w:rPr>
        <w:t>3</w:t>
      </w:r>
      <w:r>
        <w:rPr>
          <w:rFonts w:hint="eastAsia"/>
          <w:highlight w:val="none"/>
        </w:rPr>
        <w:t>分。</w:t>
      </w:r>
    </w:p>
    <w:p>
      <w:pPr>
        <w:rPr>
          <w:rFonts w:hint="eastAsia" w:eastAsia="宋体"/>
          <w:highlight w:val="none"/>
          <w:lang w:eastAsia="zh-CN"/>
        </w:rPr>
      </w:pPr>
      <w:r>
        <w:rPr>
          <w:rFonts w:hint="eastAsia"/>
          <w:highlight w:val="none"/>
          <w:lang w:val="en-US" w:eastAsia="zh-CN"/>
        </w:rPr>
        <w:t>8</w:t>
      </w:r>
      <w:r>
        <w:rPr>
          <w:rFonts w:hint="eastAsia"/>
          <w:highlight w:val="none"/>
        </w:rPr>
        <w:t>.2.</w:t>
      </w:r>
      <w:r>
        <w:rPr>
          <w:rFonts w:hint="eastAsia"/>
          <w:highlight w:val="none"/>
          <w:lang w:val="en-US" w:eastAsia="zh-CN"/>
        </w:rPr>
        <w:t>5有效削减径流峰值，通过模型分析，</w:t>
      </w:r>
      <w:r>
        <w:rPr>
          <w:rFonts w:hint="eastAsia"/>
          <w:highlight w:val="none"/>
        </w:rPr>
        <w:t>在雨水管渠及内涝防治标准下，场地24小时设计暴雨产生的径流峰值不超过开发前</w:t>
      </w:r>
      <w:r>
        <w:rPr>
          <w:rFonts w:hint="eastAsia"/>
          <w:highlight w:val="none"/>
          <w:lang w:eastAsia="zh-CN"/>
        </w:rPr>
        <w:t>，</w:t>
      </w:r>
      <w:r>
        <w:rPr>
          <w:rFonts w:hint="eastAsia"/>
          <w:highlight w:val="none"/>
        </w:rPr>
        <w:t>评价分值为2分。</w:t>
      </w:r>
    </w:p>
    <w:p>
      <w:pPr>
        <w:rPr>
          <w:rFonts w:hint="eastAsia"/>
          <w:highlight w:val="none"/>
        </w:rPr>
      </w:pPr>
      <w:r>
        <w:rPr>
          <w:rFonts w:hint="eastAsia"/>
          <w:highlight w:val="none"/>
          <w:lang w:val="en-US" w:eastAsia="zh-CN"/>
        </w:rPr>
        <w:t>8</w:t>
      </w:r>
      <w:r>
        <w:rPr>
          <w:rFonts w:hint="eastAsia"/>
          <w:highlight w:val="none"/>
        </w:rPr>
        <w:t>.2.</w:t>
      </w:r>
      <w:r>
        <w:rPr>
          <w:rFonts w:hint="eastAsia"/>
          <w:highlight w:val="none"/>
          <w:lang w:val="en-US" w:eastAsia="zh-CN"/>
        </w:rPr>
        <w:t>6</w:t>
      </w:r>
      <w:r>
        <w:rPr>
          <w:rFonts w:hint="eastAsia"/>
          <w:highlight w:val="none"/>
        </w:rPr>
        <w:t>采用水量、水质的监测</w:t>
      </w:r>
      <w:r>
        <w:rPr>
          <w:rFonts w:hint="eastAsia"/>
          <w:highlight w:val="none"/>
          <w:lang w:val="en-US" w:eastAsia="zh-CN"/>
        </w:rPr>
        <w:t>设备</w:t>
      </w:r>
      <w:r>
        <w:rPr>
          <w:rFonts w:hint="eastAsia"/>
          <w:highlight w:val="none"/>
        </w:rPr>
        <w:t>，建立信息化</w:t>
      </w:r>
      <w:r>
        <w:rPr>
          <w:rFonts w:hint="eastAsia"/>
          <w:highlight w:val="none"/>
          <w:lang w:eastAsia="zh-CN"/>
        </w:rPr>
        <w:t>海绵城市设施</w:t>
      </w:r>
      <w:r>
        <w:rPr>
          <w:rFonts w:hint="eastAsia"/>
          <w:highlight w:val="none"/>
        </w:rPr>
        <w:t>管理系统</w:t>
      </w:r>
      <w:r>
        <w:rPr>
          <w:rFonts w:hint="eastAsia"/>
          <w:highlight w:val="none"/>
          <w:lang w:val="en-US" w:eastAsia="zh-CN"/>
        </w:rPr>
        <w:t>或平台</w:t>
      </w:r>
      <w:r>
        <w:rPr>
          <w:rFonts w:hint="eastAsia"/>
          <w:highlight w:val="none"/>
        </w:rPr>
        <w:t>，</w:t>
      </w:r>
      <w:r>
        <w:rPr>
          <w:rFonts w:hint="eastAsia"/>
          <w:highlight w:val="none"/>
          <w:lang w:val="en-US" w:eastAsia="zh-CN"/>
        </w:rPr>
        <w:t>掌握海绵城市建设效果的真实效果，</w:t>
      </w:r>
      <w:r>
        <w:rPr>
          <w:rFonts w:hint="eastAsia"/>
          <w:highlight w:val="none"/>
        </w:rPr>
        <w:t>评价分值2分。</w:t>
      </w:r>
    </w:p>
    <w:p>
      <w:pPr>
        <w:rPr>
          <w:rFonts w:hint="eastAsia"/>
          <w:highlight w:val="none"/>
        </w:rPr>
      </w:pPr>
      <w:r>
        <w:rPr>
          <w:rFonts w:hint="eastAsia"/>
          <w:highlight w:val="none"/>
          <w:lang w:val="en-US" w:eastAsia="zh-CN"/>
        </w:rPr>
        <w:t>8</w:t>
      </w:r>
      <w:r>
        <w:rPr>
          <w:rFonts w:hint="eastAsia"/>
          <w:highlight w:val="none"/>
        </w:rPr>
        <w:t>.2.</w:t>
      </w:r>
      <w:r>
        <w:rPr>
          <w:rFonts w:hint="eastAsia"/>
          <w:highlight w:val="none"/>
          <w:lang w:val="en-US" w:eastAsia="zh-CN"/>
        </w:rPr>
        <w:t>8</w:t>
      </w:r>
      <w:r>
        <w:rPr>
          <w:rFonts w:hint="eastAsia"/>
          <w:highlight w:val="none"/>
        </w:rPr>
        <w:t>在雨水管线的出口和典型设施的进出口安装在线流量计与在线水质监测仪，且设备能正常运行，评价分值为2分。</w:t>
      </w:r>
    </w:p>
    <w:p>
      <w:pPr>
        <w:rPr>
          <w:rFonts w:hint="default"/>
          <w:highlight w:val="none"/>
          <w:lang w:val="en-US" w:eastAsia="zh-CN"/>
        </w:rPr>
      </w:pPr>
      <w:r>
        <w:rPr>
          <w:rFonts w:hint="eastAsia"/>
          <w:highlight w:val="none"/>
          <w:lang w:val="en-US" w:eastAsia="zh-CN"/>
        </w:rPr>
        <w:t>8.2.10将雨水回收后纳入雨水交易平台利用，雨水利用设施设置水质监测设施，</w:t>
      </w:r>
      <w:r>
        <w:rPr>
          <w:rFonts w:hint="eastAsia"/>
          <w:highlight w:val="none"/>
        </w:rPr>
        <w:t>评价分值为2分。</w:t>
      </w:r>
    </w:p>
    <w:p>
      <w:pPr>
        <w:rPr>
          <w:rFonts w:hint="eastAsia"/>
          <w:highlight w:val="none"/>
        </w:rPr>
      </w:pPr>
      <w:r>
        <w:rPr>
          <w:rFonts w:hint="eastAsia"/>
          <w:highlight w:val="none"/>
          <w:lang w:val="en-US" w:eastAsia="zh-CN"/>
        </w:rPr>
        <w:t>8</w:t>
      </w:r>
      <w:r>
        <w:rPr>
          <w:rFonts w:hint="eastAsia"/>
          <w:highlight w:val="none"/>
        </w:rPr>
        <w:t>.2.</w:t>
      </w:r>
      <w:r>
        <w:rPr>
          <w:rFonts w:hint="eastAsia"/>
          <w:highlight w:val="none"/>
          <w:lang w:val="en-US" w:eastAsia="zh-CN"/>
        </w:rPr>
        <w:t>11利用新媒体扩大公众宣传面</w:t>
      </w:r>
      <w:r>
        <w:rPr>
          <w:rFonts w:hint="eastAsia"/>
          <w:highlight w:val="none"/>
        </w:rPr>
        <w:t>，</w:t>
      </w:r>
      <w:r>
        <w:rPr>
          <w:rFonts w:hint="eastAsia"/>
          <w:highlight w:val="none"/>
          <w:lang w:val="en-US" w:eastAsia="zh-CN"/>
        </w:rPr>
        <w:t>提高公众对海绵城市的认可度，公众满意度调查结果优良，</w:t>
      </w:r>
      <w:r>
        <w:rPr>
          <w:rFonts w:hint="eastAsia"/>
          <w:highlight w:val="none"/>
        </w:rPr>
        <w:t>评价分值为2分。</w:t>
      </w:r>
    </w:p>
    <w:p>
      <w:bookmarkStart w:id="45" w:name="_Toc164442248"/>
      <w:r>
        <w:rPr>
          <w:rFonts w:hint="eastAsia"/>
        </w:rPr>
        <w:br w:type="page"/>
      </w:r>
    </w:p>
    <w:p>
      <w:pPr>
        <w:pStyle w:val="2"/>
      </w:pPr>
      <w:bookmarkStart w:id="46" w:name="_Toc5885"/>
      <w:r>
        <w:rPr>
          <w:rFonts w:hint="eastAsia"/>
        </w:rPr>
        <w:t>附录</w:t>
      </w:r>
      <w:r>
        <w:t>A</w:t>
      </w:r>
      <w:r>
        <w:rPr>
          <w:rFonts w:hint="eastAsia"/>
          <w:lang w:val="en-US" w:eastAsia="zh-CN"/>
        </w:rPr>
        <w:t xml:space="preserve">  </w:t>
      </w:r>
      <w:r>
        <w:rPr>
          <w:rFonts w:hint="eastAsia"/>
        </w:rPr>
        <w:t>海绵城市建设项目评价表</w:t>
      </w:r>
      <w:bookmarkEnd w:id="45"/>
      <w:bookmarkEnd w:id="46"/>
    </w:p>
    <w:p>
      <w:pPr>
        <w:pStyle w:val="13"/>
      </w:pPr>
      <w:r>
        <w:rPr>
          <w:rFonts w:hint="eastAsia"/>
        </w:rPr>
        <w:t>表</w:t>
      </w:r>
      <w:r>
        <w:t>A.0.1</w:t>
      </w:r>
      <w:r>
        <w:rPr>
          <w:rFonts w:hint="eastAsia"/>
        </w:rPr>
        <w:t>海绵城市建设项目评价表</w:t>
      </w:r>
    </w:p>
    <w:p>
      <w:pPr>
        <w:pStyle w:val="10"/>
        <w:ind w:firstLine="420"/>
        <w:jc w:val="right"/>
      </w:pPr>
      <w:r>
        <w:rPr>
          <w:rFonts w:hint="eastAsia"/>
        </w:rPr>
        <w:t>年 月 日</w:t>
      </w:r>
    </w:p>
    <w:tbl>
      <w:tblPr>
        <w:tblStyle w:val="6"/>
        <w:tblW w:w="8518" w:type="dxa"/>
        <w:jc w:val="center"/>
        <w:tblLayout w:type="fixed"/>
        <w:tblCellMar>
          <w:top w:w="0" w:type="dxa"/>
          <w:left w:w="10" w:type="dxa"/>
          <w:bottom w:w="0" w:type="dxa"/>
          <w:right w:w="10" w:type="dxa"/>
        </w:tblCellMar>
      </w:tblPr>
      <w:tblGrid>
        <w:gridCol w:w="1751"/>
        <w:gridCol w:w="2620"/>
        <w:gridCol w:w="1699"/>
        <w:gridCol w:w="2448"/>
      </w:tblGrid>
      <w:tr>
        <w:trPr>
          <w:trHeight w:val="558"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项目名称</w:t>
            </w:r>
          </w:p>
        </w:tc>
        <w:tc>
          <w:tcPr>
            <w:tcW w:w="6767" w:type="dxa"/>
            <w:gridSpan w:val="3"/>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536"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评价单位</w:t>
            </w:r>
          </w:p>
        </w:tc>
        <w:tc>
          <w:tcPr>
            <w:tcW w:w="6767" w:type="dxa"/>
            <w:gridSpan w:val="3"/>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547"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申请单位</w:t>
            </w:r>
          </w:p>
        </w:tc>
        <w:tc>
          <w:tcPr>
            <w:tcW w:w="6767" w:type="dxa"/>
            <w:gridSpan w:val="3"/>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591"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项目类型</w:t>
            </w:r>
          </w:p>
        </w:tc>
        <w:tc>
          <w:tcPr>
            <w:tcW w:w="6767" w:type="dxa"/>
            <w:gridSpan w:val="3"/>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lang w:eastAsia="zh-CN"/>
              </w:rPr>
              <w:t>□</w:t>
            </w:r>
            <w:r>
              <w:rPr>
                <w:rFonts w:hint="eastAsia"/>
              </w:rPr>
              <w:t xml:space="preserve">建筑与小区 </w:t>
            </w:r>
            <w:r>
              <w:rPr>
                <w:rFonts w:hint="eastAsia"/>
                <w:lang w:eastAsia="zh-CN"/>
              </w:rPr>
              <w:t>□</w:t>
            </w:r>
            <w:r>
              <w:rPr>
                <w:rFonts w:hint="eastAsia"/>
              </w:rPr>
              <w:t xml:space="preserve">城市道路 </w:t>
            </w:r>
            <w:r>
              <w:rPr>
                <w:rFonts w:hint="eastAsia"/>
                <w:lang w:eastAsia="zh-CN"/>
              </w:rPr>
              <w:t>□</w:t>
            </w:r>
            <w:r>
              <w:rPr>
                <w:rFonts w:hint="eastAsia"/>
              </w:rPr>
              <w:t xml:space="preserve">城市绿地 </w:t>
            </w:r>
            <w:r>
              <w:rPr>
                <w:rFonts w:hint="eastAsia"/>
                <w:lang w:eastAsia="zh-CN"/>
              </w:rPr>
              <w:t>□</w:t>
            </w:r>
            <w:r>
              <w:rPr>
                <w:rFonts w:hint="eastAsia"/>
              </w:rPr>
              <w:t>城市广场</w:t>
            </w:r>
          </w:p>
        </w:tc>
      </w:tr>
      <w:tr>
        <w:trPr>
          <w:trHeight w:val="602"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评分权重</w:t>
            </w:r>
          </w:p>
        </w:tc>
        <w:tc>
          <w:tcPr>
            <w:tcW w:w="6767" w:type="dxa"/>
            <w:gridSpan w:val="3"/>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rPr>
              <w:t>专项设计</w:t>
            </w:r>
            <w:r>
              <w:rPr>
                <w:rFonts w:hint="eastAsia"/>
              </w:rPr>
              <w:tab/>
            </w:r>
            <w:r>
              <w:rPr>
                <w:rFonts w:hint="eastAsia"/>
              </w:rPr>
              <w:t xml:space="preserve"> 施工建设</w:t>
            </w:r>
            <w:r>
              <w:rPr>
                <w:rFonts w:hint="eastAsia"/>
              </w:rPr>
              <w:tab/>
            </w:r>
            <w:r>
              <w:rPr>
                <w:rFonts w:hint="eastAsia"/>
              </w:rPr>
              <w:t xml:space="preserve"> 运行维护</w:t>
            </w:r>
            <w:r>
              <w:rPr>
                <w:rFonts w:hint="eastAsia"/>
              </w:rPr>
              <w:tab/>
            </w:r>
            <w:r>
              <w:rPr>
                <w:rFonts w:hint="eastAsia"/>
              </w:rPr>
              <w:t>建设效果</w:t>
            </w:r>
          </w:p>
        </w:tc>
      </w:tr>
      <w:tr>
        <w:trPr>
          <w:trHeight w:val="680"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评价阶段</w:t>
            </w:r>
          </w:p>
        </w:tc>
        <w:tc>
          <w:tcPr>
            <w:tcW w:w="2620" w:type="dxa"/>
            <w:tcBorders>
              <w:top w:val="single" w:color="auto" w:sz="4" w:space="0"/>
              <w:left w:val="single" w:color="auto" w:sz="4" w:space="0"/>
              <w:bottom w:val="nil"/>
              <w:right w:val="nil"/>
            </w:tcBorders>
            <w:shd w:val="clear" w:color="auto" w:fill="auto"/>
            <w:vAlign w:val="center"/>
          </w:tcPr>
          <w:p>
            <w:pPr>
              <w:pStyle w:val="14"/>
            </w:pPr>
            <w:r>
              <w:rPr>
                <w:rFonts w:hint="eastAsia"/>
              </w:rPr>
              <w:t>指标类型</w:t>
            </w:r>
          </w:p>
        </w:tc>
        <w:tc>
          <w:tcPr>
            <w:tcW w:w="1699" w:type="dxa"/>
            <w:tcBorders>
              <w:top w:val="single" w:color="auto" w:sz="4" w:space="0"/>
              <w:left w:val="single" w:color="auto" w:sz="4" w:space="0"/>
              <w:bottom w:val="nil"/>
              <w:right w:val="nil"/>
            </w:tcBorders>
            <w:shd w:val="clear" w:color="auto" w:fill="auto"/>
            <w:vAlign w:val="center"/>
          </w:tcPr>
          <w:p>
            <w:pPr>
              <w:pStyle w:val="14"/>
            </w:pPr>
            <w:r>
              <w:rPr>
                <w:rFonts w:hint="eastAsia"/>
              </w:rPr>
              <w:t>评价得分</w:t>
            </w: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rPr>
              <w:t>加权评价得分</w:t>
            </w:r>
          </w:p>
        </w:tc>
      </w:tr>
      <w:tr>
        <w:trPr>
          <w:trHeight w:val="680" w:hRule="atLeast"/>
          <w:jc w:val="center"/>
        </w:trPr>
        <w:tc>
          <w:tcPr>
            <w:tcW w:w="1751" w:type="dxa"/>
            <w:vMerge w:val="restart"/>
            <w:tcBorders>
              <w:top w:val="single" w:color="auto" w:sz="4" w:space="0"/>
              <w:left w:val="single" w:color="auto" w:sz="4" w:space="0"/>
              <w:bottom w:val="nil"/>
              <w:right w:val="nil"/>
            </w:tcBorders>
            <w:shd w:val="clear" w:color="auto" w:fill="auto"/>
            <w:vAlign w:val="center"/>
          </w:tcPr>
          <w:p>
            <w:pPr>
              <w:pStyle w:val="14"/>
            </w:pPr>
            <w:r>
              <w:rPr>
                <w:rFonts w:hint="eastAsia"/>
              </w:rPr>
              <w:t>专项设计</w:t>
            </w:r>
          </w:p>
          <w:p>
            <w:pPr>
              <w:pStyle w:val="14"/>
            </w:pPr>
            <w:r>
              <w:rPr>
                <w:rFonts w:hint="eastAsia"/>
              </w:rPr>
              <w:t>评价</w:t>
            </w:r>
          </w:p>
        </w:tc>
        <w:tc>
          <w:tcPr>
            <w:tcW w:w="2620" w:type="dxa"/>
            <w:tcBorders>
              <w:top w:val="single" w:color="auto" w:sz="4" w:space="0"/>
              <w:left w:val="single" w:color="auto" w:sz="4" w:space="0"/>
              <w:bottom w:val="nil"/>
              <w:right w:val="nil"/>
            </w:tcBorders>
            <w:shd w:val="clear" w:color="auto" w:fill="auto"/>
            <w:vAlign w:val="center"/>
          </w:tcPr>
          <w:p>
            <w:pPr>
              <w:pStyle w:val="14"/>
            </w:pPr>
            <w:r>
              <w:rPr>
                <w:rFonts w:hint="eastAsia"/>
              </w:rPr>
              <w:t>控制项</w:t>
            </w:r>
          </w:p>
        </w:tc>
        <w:tc>
          <w:tcPr>
            <w:tcW w:w="1699" w:type="dxa"/>
            <w:tcBorders>
              <w:top w:val="single" w:color="auto" w:sz="4" w:space="0"/>
              <w:left w:val="single" w:color="auto" w:sz="4" w:space="0"/>
              <w:bottom w:val="nil"/>
              <w:right w:val="nil"/>
            </w:tcBorders>
            <w:shd w:val="clear" w:color="auto" w:fill="auto"/>
            <w:vAlign w:val="center"/>
          </w:tcPr>
          <w:p>
            <w:pPr>
              <w:pStyle w:val="14"/>
            </w:pPr>
            <w:r>
              <w:rPr>
                <w:rFonts w:hint="eastAsia"/>
                <w:lang w:eastAsia="zh-CN"/>
              </w:rPr>
              <w:t>□</w:t>
            </w:r>
            <w:r>
              <w:rPr>
                <w:rFonts w:hint="eastAsia"/>
              </w:rPr>
              <w:t>满足</w:t>
            </w:r>
            <w:r>
              <w:rPr>
                <w:rFonts w:hint="eastAsia"/>
                <w:lang w:eastAsia="zh-CN"/>
              </w:rPr>
              <w:t>□</w:t>
            </w:r>
            <w:r>
              <w:rPr>
                <w:rFonts w:hint="eastAsia"/>
              </w:rPr>
              <w:t>不满足</w:t>
            </w: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rPr>
              <w:t>-</w:t>
            </w:r>
          </w:p>
        </w:tc>
      </w:tr>
      <w:tr>
        <w:trPr>
          <w:trHeight w:val="480" w:hRule="atLeast"/>
          <w:jc w:val="center"/>
        </w:trPr>
        <w:tc>
          <w:tcPr>
            <w:tcW w:w="1751" w:type="dxa"/>
            <w:vMerge w:val="continue"/>
            <w:tcBorders>
              <w:top w:val="single" w:color="auto" w:sz="4" w:space="0"/>
              <w:left w:val="single" w:color="auto" w:sz="4" w:space="0"/>
              <w:bottom w:val="nil"/>
              <w:right w:val="nil"/>
            </w:tcBorders>
            <w:shd w:val="clear" w:color="auto" w:fill="auto"/>
            <w:vAlign w:val="center"/>
          </w:tcPr>
          <w:p>
            <w:pPr>
              <w:pStyle w:val="14"/>
            </w:pPr>
          </w:p>
        </w:tc>
        <w:tc>
          <w:tcPr>
            <w:tcW w:w="2620" w:type="dxa"/>
            <w:tcBorders>
              <w:top w:val="single" w:color="auto" w:sz="4" w:space="0"/>
              <w:left w:val="single" w:color="auto" w:sz="4" w:space="0"/>
              <w:bottom w:val="nil"/>
              <w:right w:val="nil"/>
            </w:tcBorders>
            <w:shd w:val="clear" w:color="auto" w:fill="auto"/>
            <w:vAlign w:val="center"/>
          </w:tcPr>
          <w:p>
            <w:pPr>
              <w:pStyle w:val="14"/>
            </w:pPr>
            <w:r>
              <w:rPr>
                <w:rFonts w:hint="eastAsia"/>
              </w:rPr>
              <w:t>评分项</w:t>
            </w:r>
          </w:p>
        </w:tc>
        <w:tc>
          <w:tcPr>
            <w:tcW w:w="1699" w:type="dxa"/>
            <w:tcBorders>
              <w:top w:val="single" w:color="auto" w:sz="4" w:space="0"/>
              <w:left w:val="single" w:color="auto" w:sz="4" w:space="0"/>
              <w:bottom w:val="nil"/>
              <w:right w:val="nil"/>
            </w:tcBorders>
            <w:shd w:val="clear" w:color="auto" w:fill="auto"/>
            <w:vAlign w:val="center"/>
          </w:tcPr>
          <w:p>
            <w:pPr>
              <w:pStyle w:val="14"/>
            </w:pP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680" w:hRule="atLeast"/>
          <w:jc w:val="center"/>
        </w:trPr>
        <w:tc>
          <w:tcPr>
            <w:tcW w:w="1751" w:type="dxa"/>
            <w:vMerge w:val="restart"/>
            <w:tcBorders>
              <w:top w:val="single" w:color="auto" w:sz="4" w:space="0"/>
              <w:left w:val="single" w:color="auto" w:sz="4" w:space="0"/>
              <w:bottom w:val="nil"/>
              <w:right w:val="nil"/>
            </w:tcBorders>
            <w:shd w:val="clear" w:color="auto" w:fill="auto"/>
            <w:vAlign w:val="center"/>
          </w:tcPr>
          <w:p>
            <w:pPr>
              <w:pStyle w:val="14"/>
            </w:pPr>
            <w:r>
              <w:rPr>
                <w:rFonts w:hint="eastAsia"/>
              </w:rPr>
              <w:t>施工建设</w:t>
            </w:r>
          </w:p>
          <w:p>
            <w:pPr>
              <w:pStyle w:val="14"/>
            </w:pPr>
            <w:r>
              <w:rPr>
                <w:rFonts w:hint="eastAsia"/>
              </w:rPr>
              <w:t>评价</w:t>
            </w:r>
          </w:p>
        </w:tc>
        <w:tc>
          <w:tcPr>
            <w:tcW w:w="2620" w:type="dxa"/>
            <w:tcBorders>
              <w:top w:val="single" w:color="auto" w:sz="4" w:space="0"/>
              <w:left w:val="single" w:color="auto" w:sz="4" w:space="0"/>
              <w:bottom w:val="nil"/>
              <w:right w:val="nil"/>
            </w:tcBorders>
            <w:shd w:val="clear" w:color="auto" w:fill="auto"/>
            <w:vAlign w:val="center"/>
          </w:tcPr>
          <w:p>
            <w:pPr>
              <w:pStyle w:val="14"/>
            </w:pPr>
            <w:r>
              <w:rPr>
                <w:rFonts w:hint="eastAsia"/>
              </w:rPr>
              <w:t>控制项</w:t>
            </w:r>
          </w:p>
        </w:tc>
        <w:tc>
          <w:tcPr>
            <w:tcW w:w="1699" w:type="dxa"/>
            <w:tcBorders>
              <w:top w:val="single" w:color="auto" w:sz="4" w:space="0"/>
              <w:left w:val="single" w:color="auto" w:sz="4" w:space="0"/>
              <w:bottom w:val="nil"/>
              <w:right w:val="nil"/>
            </w:tcBorders>
            <w:shd w:val="clear" w:color="auto" w:fill="auto"/>
            <w:vAlign w:val="center"/>
          </w:tcPr>
          <w:p>
            <w:pPr>
              <w:pStyle w:val="14"/>
            </w:pPr>
            <w:r>
              <w:rPr>
                <w:rFonts w:hint="eastAsia"/>
                <w:lang w:eastAsia="zh-CN"/>
              </w:rPr>
              <w:t>□</w:t>
            </w:r>
            <w:r>
              <w:rPr>
                <w:rFonts w:hint="eastAsia"/>
              </w:rPr>
              <w:t>满足</w:t>
            </w:r>
            <w:r>
              <w:rPr>
                <w:rFonts w:hint="eastAsia"/>
                <w:lang w:eastAsia="zh-CN"/>
              </w:rPr>
              <w:t>□</w:t>
            </w:r>
            <w:r>
              <w:rPr>
                <w:rFonts w:hint="eastAsia"/>
              </w:rPr>
              <w:t>不满足</w:t>
            </w: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rPr>
              <w:t>-</w:t>
            </w:r>
          </w:p>
        </w:tc>
      </w:tr>
      <w:tr>
        <w:trPr>
          <w:trHeight w:val="602" w:hRule="atLeast"/>
          <w:jc w:val="center"/>
        </w:trPr>
        <w:tc>
          <w:tcPr>
            <w:tcW w:w="1751" w:type="dxa"/>
            <w:vMerge w:val="continue"/>
            <w:tcBorders>
              <w:top w:val="single" w:color="auto" w:sz="4" w:space="0"/>
              <w:left w:val="single" w:color="auto" w:sz="4" w:space="0"/>
              <w:bottom w:val="nil"/>
              <w:right w:val="nil"/>
            </w:tcBorders>
            <w:shd w:val="clear" w:color="auto" w:fill="auto"/>
            <w:vAlign w:val="center"/>
          </w:tcPr>
          <w:p>
            <w:pPr>
              <w:pStyle w:val="14"/>
            </w:pPr>
          </w:p>
        </w:tc>
        <w:tc>
          <w:tcPr>
            <w:tcW w:w="2620" w:type="dxa"/>
            <w:tcBorders>
              <w:top w:val="single" w:color="auto" w:sz="4" w:space="0"/>
              <w:left w:val="single" w:color="auto" w:sz="4" w:space="0"/>
              <w:bottom w:val="nil"/>
              <w:right w:val="nil"/>
            </w:tcBorders>
            <w:shd w:val="clear" w:color="auto" w:fill="auto"/>
            <w:vAlign w:val="center"/>
          </w:tcPr>
          <w:p>
            <w:pPr>
              <w:pStyle w:val="14"/>
            </w:pPr>
            <w:r>
              <w:rPr>
                <w:rFonts w:hint="eastAsia"/>
              </w:rPr>
              <w:t>评分项</w:t>
            </w:r>
          </w:p>
        </w:tc>
        <w:tc>
          <w:tcPr>
            <w:tcW w:w="1699" w:type="dxa"/>
            <w:tcBorders>
              <w:top w:val="single" w:color="auto" w:sz="4" w:space="0"/>
              <w:left w:val="single" w:color="auto" w:sz="4" w:space="0"/>
              <w:bottom w:val="nil"/>
              <w:right w:val="nil"/>
            </w:tcBorders>
            <w:shd w:val="clear" w:color="auto" w:fill="auto"/>
            <w:vAlign w:val="center"/>
          </w:tcPr>
          <w:p>
            <w:pPr>
              <w:pStyle w:val="14"/>
            </w:pP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680" w:hRule="atLeast"/>
          <w:jc w:val="center"/>
        </w:trPr>
        <w:tc>
          <w:tcPr>
            <w:tcW w:w="1751" w:type="dxa"/>
            <w:vMerge w:val="restart"/>
            <w:tcBorders>
              <w:top w:val="single" w:color="auto" w:sz="4" w:space="0"/>
              <w:left w:val="single" w:color="auto" w:sz="4" w:space="0"/>
              <w:bottom w:val="nil"/>
              <w:right w:val="nil"/>
            </w:tcBorders>
            <w:shd w:val="clear" w:color="auto" w:fill="auto"/>
            <w:vAlign w:val="center"/>
          </w:tcPr>
          <w:p>
            <w:pPr>
              <w:pStyle w:val="14"/>
            </w:pPr>
            <w:r>
              <w:rPr>
                <w:rFonts w:hint="eastAsia"/>
              </w:rPr>
              <w:t>运行维护</w:t>
            </w:r>
          </w:p>
          <w:p>
            <w:pPr>
              <w:pStyle w:val="14"/>
            </w:pPr>
            <w:r>
              <w:rPr>
                <w:rFonts w:hint="eastAsia"/>
              </w:rPr>
              <w:t>评价</w:t>
            </w:r>
          </w:p>
        </w:tc>
        <w:tc>
          <w:tcPr>
            <w:tcW w:w="2620" w:type="dxa"/>
            <w:tcBorders>
              <w:top w:val="single" w:color="auto" w:sz="4" w:space="0"/>
              <w:left w:val="single" w:color="auto" w:sz="4" w:space="0"/>
              <w:bottom w:val="nil"/>
              <w:right w:val="nil"/>
            </w:tcBorders>
            <w:shd w:val="clear" w:color="auto" w:fill="auto"/>
            <w:vAlign w:val="center"/>
          </w:tcPr>
          <w:p>
            <w:pPr>
              <w:pStyle w:val="14"/>
            </w:pPr>
            <w:r>
              <w:rPr>
                <w:rFonts w:hint="eastAsia"/>
              </w:rPr>
              <w:t>控制项</w:t>
            </w:r>
          </w:p>
        </w:tc>
        <w:tc>
          <w:tcPr>
            <w:tcW w:w="1699" w:type="dxa"/>
            <w:tcBorders>
              <w:top w:val="single" w:color="auto" w:sz="4" w:space="0"/>
              <w:left w:val="single" w:color="auto" w:sz="4" w:space="0"/>
              <w:bottom w:val="nil"/>
              <w:right w:val="nil"/>
            </w:tcBorders>
            <w:shd w:val="clear" w:color="auto" w:fill="auto"/>
            <w:vAlign w:val="center"/>
          </w:tcPr>
          <w:p>
            <w:pPr>
              <w:pStyle w:val="14"/>
            </w:pPr>
            <w:r>
              <w:rPr>
                <w:rFonts w:hint="eastAsia"/>
                <w:lang w:eastAsia="zh-CN"/>
              </w:rPr>
              <w:t>□</w:t>
            </w:r>
            <w:r>
              <w:rPr>
                <w:rFonts w:hint="eastAsia"/>
              </w:rPr>
              <w:t>满足</w:t>
            </w:r>
            <w:r>
              <w:rPr>
                <w:rFonts w:hint="eastAsia"/>
                <w:lang w:eastAsia="zh-CN"/>
              </w:rPr>
              <w:t>□</w:t>
            </w:r>
            <w:r>
              <w:rPr>
                <w:rFonts w:hint="eastAsia"/>
              </w:rPr>
              <w:t>不满足</w:t>
            </w: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rPr>
              <w:t>-</w:t>
            </w:r>
          </w:p>
        </w:tc>
      </w:tr>
      <w:tr>
        <w:trPr>
          <w:trHeight w:val="580" w:hRule="atLeast"/>
          <w:jc w:val="center"/>
        </w:trPr>
        <w:tc>
          <w:tcPr>
            <w:tcW w:w="1751" w:type="dxa"/>
            <w:vMerge w:val="continue"/>
            <w:tcBorders>
              <w:top w:val="single" w:color="auto" w:sz="4" w:space="0"/>
              <w:left w:val="single" w:color="auto" w:sz="4" w:space="0"/>
              <w:bottom w:val="nil"/>
              <w:right w:val="nil"/>
            </w:tcBorders>
            <w:shd w:val="clear" w:color="auto" w:fill="auto"/>
            <w:vAlign w:val="center"/>
          </w:tcPr>
          <w:p>
            <w:pPr>
              <w:pStyle w:val="14"/>
            </w:pPr>
          </w:p>
        </w:tc>
        <w:tc>
          <w:tcPr>
            <w:tcW w:w="2620" w:type="dxa"/>
            <w:tcBorders>
              <w:top w:val="single" w:color="auto" w:sz="4" w:space="0"/>
              <w:left w:val="single" w:color="auto" w:sz="4" w:space="0"/>
              <w:bottom w:val="single" w:color="auto" w:sz="4" w:space="0"/>
              <w:right w:val="nil"/>
            </w:tcBorders>
            <w:shd w:val="clear" w:color="auto" w:fill="auto"/>
            <w:vAlign w:val="center"/>
          </w:tcPr>
          <w:p>
            <w:pPr>
              <w:pStyle w:val="14"/>
            </w:pPr>
            <w:r>
              <w:rPr>
                <w:rFonts w:hint="eastAsia"/>
              </w:rPr>
              <w:t>评分项</w:t>
            </w:r>
          </w:p>
        </w:tc>
        <w:tc>
          <w:tcPr>
            <w:tcW w:w="1699" w:type="dxa"/>
            <w:tcBorders>
              <w:top w:val="single" w:color="auto" w:sz="4" w:space="0"/>
              <w:left w:val="single" w:color="auto" w:sz="4" w:space="0"/>
              <w:bottom w:val="single" w:color="auto" w:sz="4" w:space="0"/>
              <w:right w:val="nil"/>
            </w:tcBorders>
            <w:shd w:val="clear" w:color="auto" w:fill="auto"/>
            <w:vAlign w:val="center"/>
          </w:tcPr>
          <w:p>
            <w:pPr>
              <w:pStyle w:val="14"/>
            </w:pP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680" w:hRule="atLeast"/>
          <w:jc w:val="center"/>
        </w:trPr>
        <w:tc>
          <w:tcPr>
            <w:tcW w:w="1751" w:type="dxa"/>
            <w:vMerge w:val="restart"/>
            <w:tcBorders>
              <w:top w:val="single" w:color="auto" w:sz="4" w:space="0"/>
              <w:left w:val="single" w:color="auto" w:sz="4" w:space="0"/>
              <w:right w:val="nil"/>
            </w:tcBorders>
            <w:shd w:val="clear" w:color="auto" w:fill="auto"/>
            <w:vAlign w:val="center"/>
          </w:tcPr>
          <w:p>
            <w:pPr>
              <w:pStyle w:val="14"/>
            </w:pPr>
            <w:r>
              <w:rPr>
                <w:rFonts w:hint="eastAsia"/>
              </w:rPr>
              <w:t>建设效果</w:t>
            </w:r>
          </w:p>
          <w:p>
            <w:pPr>
              <w:pStyle w:val="14"/>
            </w:pPr>
            <w:r>
              <w:rPr>
                <w:rFonts w:hint="eastAsia"/>
              </w:rPr>
              <w:t>评价</w:t>
            </w:r>
          </w:p>
        </w:tc>
        <w:tc>
          <w:tcPr>
            <w:tcW w:w="2620" w:type="dxa"/>
            <w:tcBorders>
              <w:top w:val="single" w:color="auto" w:sz="4" w:space="0"/>
              <w:left w:val="single" w:color="auto" w:sz="4" w:space="0"/>
              <w:bottom w:val="single" w:color="auto" w:sz="4" w:space="0"/>
              <w:right w:val="nil"/>
            </w:tcBorders>
            <w:shd w:val="clear" w:color="auto" w:fill="auto"/>
            <w:vAlign w:val="center"/>
          </w:tcPr>
          <w:p>
            <w:pPr>
              <w:pStyle w:val="14"/>
            </w:pPr>
            <w:r>
              <w:rPr>
                <w:rFonts w:hint="eastAsia"/>
              </w:rPr>
              <w:t>控制项</w:t>
            </w:r>
          </w:p>
        </w:tc>
        <w:tc>
          <w:tcPr>
            <w:tcW w:w="1699" w:type="dxa"/>
            <w:tcBorders>
              <w:top w:val="single" w:color="auto" w:sz="4" w:space="0"/>
              <w:left w:val="single" w:color="auto" w:sz="4" w:space="0"/>
              <w:bottom w:val="single" w:color="auto" w:sz="4" w:space="0"/>
              <w:right w:val="nil"/>
            </w:tcBorders>
            <w:shd w:val="clear" w:color="auto" w:fill="auto"/>
            <w:vAlign w:val="center"/>
          </w:tcPr>
          <w:p>
            <w:pPr>
              <w:pStyle w:val="14"/>
            </w:pPr>
            <w:r>
              <w:rPr>
                <w:rFonts w:hint="eastAsia"/>
                <w:lang w:eastAsia="zh-CN"/>
              </w:rPr>
              <w:t>□</w:t>
            </w:r>
            <w:r>
              <w:rPr>
                <w:rFonts w:hint="eastAsia"/>
              </w:rPr>
              <w:t>满足</w:t>
            </w:r>
            <w:r>
              <w:rPr>
                <w:rFonts w:hint="eastAsia"/>
                <w:lang w:eastAsia="zh-CN"/>
              </w:rPr>
              <w:t>□</w:t>
            </w:r>
            <w:r>
              <w:rPr>
                <w:rFonts w:hint="eastAsia"/>
              </w:rPr>
              <w:t>不满足</w:t>
            </w: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rPr>
              <w:t>-</w:t>
            </w:r>
          </w:p>
        </w:tc>
      </w:tr>
      <w:tr>
        <w:trPr>
          <w:trHeight w:val="612" w:hRule="atLeast"/>
          <w:jc w:val="center"/>
        </w:trPr>
        <w:tc>
          <w:tcPr>
            <w:tcW w:w="1751" w:type="dxa"/>
            <w:vMerge w:val="continue"/>
            <w:tcBorders>
              <w:left w:val="single" w:color="auto" w:sz="4" w:space="0"/>
              <w:bottom w:val="nil"/>
              <w:right w:val="nil"/>
            </w:tcBorders>
            <w:shd w:val="clear" w:color="auto" w:fill="auto"/>
            <w:vAlign w:val="center"/>
          </w:tcPr>
          <w:p>
            <w:pPr>
              <w:pStyle w:val="14"/>
            </w:pPr>
          </w:p>
        </w:tc>
        <w:tc>
          <w:tcPr>
            <w:tcW w:w="2620" w:type="dxa"/>
            <w:tcBorders>
              <w:top w:val="single" w:color="auto" w:sz="4" w:space="0"/>
              <w:left w:val="single" w:color="auto" w:sz="4" w:space="0"/>
              <w:bottom w:val="single" w:color="auto" w:sz="4" w:space="0"/>
              <w:right w:val="nil"/>
            </w:tcBorders>
            <w:shd w:val="clear" w:color="auto" w:fill="auto"/>
            <w:vAlign w:val="center"/>
          </w:tcPr>
          <w:p>
            <w:pPr>
              <w:pStyle w:val="14"/>
            </w:pPr>
            <w:r>
              <w:rPr>
                <w:rFonts w:hint="eastAsia"/>
              </w:rPr>
              <w:t>评分项</w:t>
            </w:r>
          </w:p>
        </w:tc>
        <w:tc>
          <w:tcPr>
            <w:tcW w:w="1699" w:type="dxa"/>
            <w:tcBorders>
              <w:top w:val="single" w:color="auto" w:sz="4" w:space="0"/>
              <w:left w:val="single" w:color="auto" w:sz="4" w:space="0"/>
              <w:bottom w:val="single" w:color="auto" w:sz="4" w:space="0"/>
              <w:right w:val="nil"/>
            </w:tcBorders>
            <w:shd w:val="clear" w:color="auto" w:fill="auto"/>
            <w:vAlign w:val="center"/>
          </w:tcPr>
          <w:p>
            <w:pPr>
              <w:pStyle w:val="14"/>
            </w:pPr>
          </w:p>
        </w:tc>
        <w:tc>
          <w:tcPr>
            <w:tcW w:w="2448" w:type="dxa"/>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547" w:hRule="atLeast"/>
          <w:jc w:val="center"/>
        </w:trPr>
        <w:tc>
          <w:tcPr>
            <w:tcW w:w="6070" w:type="dxa"/>
            <w:gridSpan w:val="3"/>
            <w:tcBorders>
              <w:top w:val="single" w:color="auto" w:sz="4" w:space="0"/>
              <w:left w:val="single" w:color="auto" w:sz="4" w:space="0"/>
              <w:bottom w:val="nil"/>
              <w:right w:val="nil"/>
            </w:tcBorders>
            <w:shd w:val="clear" w:color="auto" w:fill="auto"/>
            <w:vAlign w:val="center"/>
          </w:tcPr>
          <w:p>
            <w:pPr>
              <w:pStyle w:val="14"/>
            </w:pPr>
            <w:r>
              <w:rPr>
                <w:rFonts w:hint="eastAsia"/>
              </w:rPr>
              <w:t>评价结果</w:t>
            </w:r>
          </w:p>
        </w:tc>
        <w:tc>
          <w:tcPr>
            <w:tcW w:w="244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4"/>
            </w:pPr>
          </w:p>
        </w:tc>
      </w:tr>
      <w:tr>
        <w:trPr>
          <w:trHeight w:val="680"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评价等级</w:t>
            </w:r>
          </w:p>
        </w:tc>
        <w:tc>
          <w:tcPr>
            <w:tcW w:w="6767" w:type="dxa"/>
            <w:gridSpan w:val="3"/>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lang w:eastAsia="zh-CN"/>
              </w:rPr>
              <w:t>□</w:t>
            </w:r>
            <w:r>
              <w:rPr>
                <w:rFonts w:hint="eastAsia"/>
              </w:rPr>
              <w:t>一星级</w:t>
            </w:r>
            <w:r>
              <w:t>（60</w:t>
            </w:r>
            <w:r>
              <w:rPr>
                <w:rFonts w:hint="eastAsia"/>
              </w:rPr>
              <w:t>—</w:t>
            </w:r>
            <w:r>
              <w:t>74</w:t>
            </w:r>
            <w:r>
              <w:rPr>
                <w:rFonts w:hint="eastAsia"/>
              </w:rPr>
              <w:t>分）</w:t>
            </w:r>
          </w:p>
          <w:p>
            <w:pPr>
              <w:pStyle w:val="14"/>
            </w:pPr>
            <w:r>
              <w:rPr>
                <w:rFonts w:hint="eastAsia"/>
                <w:lang w:eastAsia="zh-CN"/>
              </w:rPr>
              <w:t>□</w:t>
            </w:r>
            <w:r>
              <w:rPr>
                <w:rFonts w:hint="eastAsia"/>
              </w:rPr>
              <w:t>二星级</w:t>
            </w:r>
            <w:r>
              <w:t>（75</w:t>
            </w:r>
            <w:r>
              <w:rPr>
                <w:rFonts w:hint="eastAsia"/>
              </w:rPr>
              <w:t>—</w:t>
            </w:r>
            <w:r>
              <w:t>89</w:t>
            </w:r>
            <w:r>
              <w:rPr>
                <w:rFonts w:hint="eastAsia"/>
              </w:rPr>
              <w:t>分）</w:t>
            </w:r>
          </w:p>
          <w:p>
            <w:pPr>
              <w:pStyle w:val="14"/>
            </w:pPr>
            <w:r>
              <w:rPr>
                <w:rFonts w:hint="eastAsia"/>
                <w:lang w:eastAsia="zh-CN"/>
              </w:rPr>
              <w:t>□</w:t>
            </w:r>
            <w:r>
              <w:rPr>
                <w:rFonts w:hint="eastAsia"/>
              </w:rPr>
              <w:t>三星级</w:t>
            </w:r>
            <w:r>
              <w:t>（9</w:t>
            </w:r>
            <w:r>
              <w:rPr>
                <w:rFonts w:hint="eastAsia"/>
              </w:rPr>
              <w:t>0分以上）</w:t>
            </w:r>
          </w:p>
        </w:tc>
      </w:tr>
      <w:tr>
        <w:trPr>
          <w:trHeight w:val="680" w:hRule="atLeast"/>
          <w:jc w:val="center"/>
        </w:trPr>
        <w:tc>
          <w:tcPr>
            <w:tcW w:w="1751" w:type="dxa"/>
            <w:tcBorders>
              <w:top w:val="single" w:color="auto" w:sz="4" w:space="0"/>
              <w:left w:val="single" w:color="auto" w:sz="4" w:space="0"/>
              <w:bottom w:val="nil"/>
              <w:right w:val="nil"/>
            </w:tcBorders>
            <w:shd w:val="clear" w:color="auto" w:fill="auto"/>
            <w:vAlign w:val="center"/>
          </w:tcPr>
          <w:p>
            <w:pPr>
              <w:pStyle w:val="14"/>
            </w:pPr>
            <w:r>
              <w:rPr>
                <w:rFonts w:hint="eastAsia"/>
              </w:rPr>
              <w:t>评价意见</w:t>
            </w:r>
          </w:p>
          <w:p>
            <w:pPr>
              <w:pStyle w:val="14"/>
            </w:pPr>
            <w:r>
              <w:rPr>
                <w:rFonts w:hint="eastAsia"/>
              </w:rPr>
              <w:t>及建议</w:t>
            </w:r>
          </w:p>
        </w:tc>
        <w:tc>
          <w:tcPr>
            <w:tcW w:w="6767" w:type="dxa"/>
            <w:gridSpan w:val="3"/>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624" w:hRule="atLeast"/>
          <w:jc w:val="center"/>
        </w:trPr>
        <w:tc>
          <w:tcPr>
            <w:tcW w:w="1751" w:type="dxa"/>
            <w:tcBorders>
              <w:top w:val="single" w:color="auto" w:sz="4" w:space="0"/>
              <w:left w:val="single" w:color="auto" w:sz="4" w:space="0"/>
              <w:bottom w:val="single" w:color="auto" w:sz="4" w:space="0"/>
              <w:right w:val="nil"/>
            </w:tcBorders>
            <w:shd w:val="clear" w:color="auto" w:fill="auto"/>
            <w:vAlign w:val="center"/>
          </w:tcPr>
          <w:p>
            <w:pPr>
              <w:pStyle w:val="14"/>
            </w:pPr>
            <w:r>
              <w:rPr>
                <w:rFonts w:hint="eastAsia"/>
              </w:rPr>
              <w:t>评价人</w:t>
            </w:r>
          </w:p>
        </w:tc>
        <w:tc>
          <w:tcPr>
            <w:tcW w:w="676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pStyle w:val="14"/>
            </w:pPr>
            <w:r>
              <w:rPr>
                <w:rFonts w:hint="eastAsia"/>
              </w:rPr>
              <w:t>（签名）</w:t>
            </w:r>
          </w:p>
        </w:tc>
      </w:tr>
    </w:tbl>
    <w:p>
      <w:pPr>
        <w:pStyle w:val="10"/>
        <w:ind w:firstLine="420"/>
        <w:jc w:val="both"/>
      </w:pPr>
      <w:r>
        <w:rPr>
          <w:rFonts w:hint="eastAsia"/>
        </w:rPr>
        <w:t>注：</w:t>
      </w:r>
      <w:r>
        <w:t>1</w:t>
      </w:r>
      <w:r>
        <w:rPr>
          <w:rFonts w:hint="eastAsia"/>
        </w:rPr>
        <w:t>评分项的评价得分为各阶段评价结果分值，加权评价得分为加入权重后计算所 得的分值。</w:t>
      </w:r>
    </w:p>
    <w:p>
      <w:pPr>
        <w:pStyle w:val="10"/>
        <w:ind w:firstLine="420"/>
        <w:jc w:val="both"/>
      </w:pPr>
      <w:r>
        <w:t>2评价结果为汇总加权评价得分后的总分值</w:t>
      </w:r>
      <w:r>
        <w:rPr>
          <w:rFonts w:hint="eastAsia"/>
        </w:rPr>
        <w:t>。</w:t>
      </w:r>
      <w:r>
        <w:rPr>
          <w:rFonts w:hint="eastAsia"/>
        </w:rPr>
        <w:br w:type="page"/>
      </w:r>
    </w:p>
    <w:p>
      <w:pPr>
        <w:pStyle w:val="13"/>
      </w:pPr>
      <w:r>
        <w:rPr>
          <w:rFonts w:hint="eastAsia"/>
        </w:rPr>
        <w:t>表A.0.2海绵城市建设项目阶段性评价表</w:t>
      </w:r>
    </w:p>
    <w:p>
      <w:pPr>
        <w:pStyle w:val="10"/>
        <w:ind w:firstLine="420"/>
        <w:jc w:val="right"/>
      </w:pPr>
      <w:r>
        <w:rPr>
          <w:rFonts w:hint="eastAsia"/>
        </w:rPr>
        <w:t>年 月 日</w:t>
      </w:r>
    </w:p>
    <w:tbl>
      <w:tblPr>
        <w:tblStyle w:val="6"/>
        <w:tblW w:w="8509" w:type="dxa"/>
        <w:jc w:val="center"/>
        <w:tblLayout w:type="fixed"/>
        <w:tblCellMar>
          <w:top w:w="0" w:type="dxa"/>
          <w:left w:w="10" w:type="dxa"/>
          <w:bottom w:w="0" w:type="dxa"/>
          <w:right w:w="10" w:type="dxa"/>
        </w:tblCellMar>
      </w:tblPr>
      <w:tblGrid>
        <w:gridCol w:w="2087"/>
        <w:gridCol w:w="850"/>
        <w:gridCol w:w="1276"/>
        <w:gridCol w:w="992"/>
        <w:gridCol w:w="709"/>
        <w:gridCol w:w="714"/>
        <w:gridCol w:w="987"/>
        <w:gridCol w:w="894"/>
      </w:tblGrid>
      <w:tr>
        <w:trPr>
          <w:trHeight w:val="567" w:hRule="atLeast"/>
          <w:jc w:val="center"/>
        </w:trPr>
        <w:tc>
          <w:tcPr>
            <w:tcW w:w="2087" w:type="dxa"/>
            <w:tcBorders>
              <w:top w:val="single" w:color="auto" w:sz="4" w:space="0"/>
              <w:left w:val="single" w:color="auto" w:sz="4" w:space="0"/>
              <w:bottom w:val="nil"/>
              <w:right w:val="nil"/>
            </w:tcBorders>
            <w:shd w:val="clear" w:color="auto" w:fill="auto"/>
            <w:vAlign w:val="bottom"/>
          </w:tcPr>
          <w:p>
            <w:pPr>
              <w:pStyle w:val="14"/>
            </w:pPr>
            <w:r>
              <w:rPr>
                <w:rFonts w:hint="eastAsia"/>
              </w:rPr>
              <w:t>项目名称</w:t>
            </w:r>
          </w:p>
        </w:tc>
        <w:tc>
          <w:tcPr>
            <w:tcW w:w="6422" w:type="dxa"/>
            <w:gridSpan w:val="7"/>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bottom"/>
          </w:tcPr>
          <w:p>
            <w:pPr>
              <w:pStyle w:val="14"/>
            </w:pPr>
            <w:r>
              <w:rPr>
                <w:rFonts w:hint="eastAsia"/>
              </w:rPr>
              <w:t>评价单位</w:t>
            </w:r>
          </w:p>
        </w:tc>
        <w:tc>
          <w:tcPr>
            <w:tcW w:w="6422" w:type="dxa"/>
            <w:gridSpan w:val="7"/>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bottom"/>
          </w:tcPr>
          <w:p>
            <w:pPr>
              <w:pStyle w:val="14"/>
            </w:pPr>
            <w:r>
              <w:rPr>
                <w:rFonts w:hint="eastAsia"/>
              </w:rPr>
              <w:t>申请单位</w:t>
            </w:r>
          </w:p>
        </w:tc>
        <w:tc>
          <w:tcPr>
            <w:tcW w:w="3118" w:type="dxa"/>
            <w:gridSpan w:val="3"/>
            <w:tcBorders>
              <w:top w:val="single" w:color="auto" w:sz="4" w:space="0"/>
              <w:left w:val="single" w:color="auto" w:sz="4" w:space="0"/>
              <w:bottom w:val="nil"/>
              <w:right w:val="nil"/>
            </w:tcBorders>
            <w:shd w:val="clear" w:color="auto" w:fill="auto"/>
          </w:tcPr>
          <w:p>
            <w:pPr>
              <w:pStyle w:val="14"/>
            </w:pPr>
          </w:p>
        </w:tc>
        <w:tc>
          <w:tcPr>
            <w:tcW w:w="1423" w:type="dxa"/>
            <w:gridSpan w:val="2"/>
            <w:tcBorders>
              <w:top w:val="single" w:color="auto" w:sz="4" w:space="0"/>
              <w:left w:val="single" w:color="auto" w:sz="4" w:space="0"/>
              <w:bottom w:val="nil"/>
              <w:right w:val="nil"/>
            </w:tcBorders>
            <w:shd w:val="clear" w:color="auto" w:fill="auto"/>
            <w:vAlign w:val="bottom"/>
          </w:tcPr>
          <w:p>
            <w:pPr>
              <w:pStyle w:val="14"/>
            </w:pPr>
            <w:r>
              <w:rPr>
                <w:rFonts w:hint="eastAsia"/>
              </w:rPr>
              <w:t>建设单位</w:t>
            </w:r>
          </w:p>
        </w:tc>
        <w:tc>
          <w:tcPr>
            <w:tcW w:w="1881" w:type="dxa"/>
            <w:gridSpan w:val="2"/>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bottom"/>
          </w:tcPr>
          <w:p>
            <w:pPr>
              <w:pStyle w:val="14"/>
            </w:pPr>
            <w:r>
              <w:rPr>
                <w:rFonts w:hint="eastAsia"/>
              </w:rPr>
              <w:t>设计单位</w:t>
            </w:r>
          </w:p>
        </w:tc>
        <w:tc>
          <w:tcPr>
            <w:tcW w:w="3118" w:type="dxa"/>
            <w:gridSpan w:val="3"/>
            <w:tcBorders>
              <w:top w:val="single" w:color="auto" w:sz="4" w:space="0"/>
              <w:left w:val="single" w:color="auto" w:sz="4" w:space="0"/>
              <w:bottom w:val="nil"/>
              <w:right w:val="nil"/>
            </w:tcBorders>
            <w:shd w:val="clear" w:color="auto" w:fill="auto"/>
          </w:tcPr>
          <w:p>
            <w:pPr>
              <w:pStyle w:val="14"/>
            </w:pPr>
          </w:p>
        </w:tc>
        <w:tc>
          <w:tcPr>
            <w:tcW w:w="1423" w:type="dxa"/>
            <w:gridSpan w:val="2"/>
            <w:tcBorders>
              <w:top w:val="single" w:color="auto" w:sz="4" w:space="0"/>
              <w:left w:val="single" w:color="auto" w:sz="4" w:space="0"/>
              <w:bottom w:val="nil"/>
              <w:right w:val="nil"/>
            </w:tcBorders>
            <w:shd w:val="clear" w:color="auto" w:fill="auto"/>
            <w:vAlign w:val="bottom"/>
          </w:tcPr>
          <w:p>
            <w:pPr>
              <w:pStyle w:val="14"/>
            </w:pPr>
            <w:r>
              <w:rPr>
                <w:rFonts w:hint="eastAsia"/>
              </w:rPr>
              <w:t>施工单位</w:t>
            </w:r>
          </w:p>
        </w:tc>
        <w:tc>
          <w:tcPr>
            <w:tcW w:w="1881" w:type="dxa"/>
            <w:gridSpan w:val="2"/>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bottom"/>
          </w:tcPr>
          <w:p>
            <w:pPr>
              <w:pStyle w:val="14"/>
            </w:pPr>
            <w:r>
              <w:rPr>
                <w:rFonts w:hint="eastAsia"/>
              </w:rPr>
              <w:t>监理单位</w:t>
            </w:r>
          </w:p>
        </w:tc>
        <w:tc>
          <w:tcPr>
            <w:tcW w:w="3118" w:type="dxa"/>
            <w:gridSpan w:val="3"/>
            <w:tcBorders>
              <w:top w:val="single" w:color="auto" w:sz="4" w:space="0"/>
              <w:left w:val="single" w:color="auto" w:sz="4" w:space="0"/>
              <w:bottom w:val="nil"/>
              <w:right w:val="nil"/>
            </w:tcBorders>
            <w:shd w:val="clear" w:color="auto" w:fill="auto"/>
          </w:tcPr>
          <w:p>
            <w:pPr>
              <w:pStyle w:val="14"/>
            </w:pPr>
          </w:p>
        </w:tc>
        <w:tc>
          <w:tcPr>
            <w:tcW w:w="1423" w:type="dxa"/>
            <w:gridSpan w:val="2"/>
            <w:tcBorders>
              <w:top w:val="single" w:color="auto" w:sz="4" w:space="0"/>
              <w:left w:val="single" w:color="auto" w:sz="4" w:space="0"/>
              <w:bottom w:val="single" w:color="auto" w:sz="4" w:space="0"/>
              <w:right w:val="nil"/>
            </w:tcBorders>
            <w:shd w:val="clear" w:color="auto" w:fill="auto"/>
            <w:vAlign w:val="bottom"/>
          </w:tcPr>
          <w:p>
            <w:pPr>
              <w:pStyle w:val="14"/>
            </w:pPr>
            <w:r>
              <w:rPr>
                <w:rFonts w:hint="eastAsia"/>
              </w:rPr>
              <w:t>物业单位</w:t>
            </w:r>
          </w:p>
        </w:tc>
        <w:tc>
          <w:tcPr>
            <w:tcW w:w="1881" w:type="dxa"/>
            <w:gridSpan w:val="2"/>
            <w:tcBorders>
              <w:top w:val="single" w:color="auto" w:sz="4" w:space="0"/>
              <w:left w:val="single" w:color="auto" w:sz="4" w:space="0"/>
              <w:bottom w:val="single" w:color="auto" w:sz="4" w:space="0"/>
              <w:right w:val="single" w:color="auto" w:sz="4" w:space="0"/>
            </w:tcBorders>
            <w:shd w:val="clear" w:color="auto" w:fill="auto"/>
          </w:tcPr>
          <w:p>
            <w:pPr>
              <w:pStyle w:val="14"/>
            </w:pP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bottom"/>
          </w:tcPr>
          <w:p>
            <w:pPr>
              <w:pStyle w:val="14"/>
            </w:pPr>
            <w:r>
              <w:rPr>
                <w:rFonts w:hint="eastAsia"/>
              </w:rPr>
              <w:t>项目类型</w:t>
            </w:r>
          </w:p>
        </w:tc>
        <w:tc>
          <w:tcPr>
            <w:tcW w:w="6422" w:type="dxa"/>
            <w:gridSpan w:val="7"/>
            <w:tcBorders>
              <w:top w:val="single" w:color="auto" w:sz="4" w:space="0"/>
              <w:left w:val="single" w:color="auto" w:sz="4" w:space="0"/>
              <w:bottom w:val="nil"/>
              <w:right w:val="single" w:color="auto" w:sz="4" w:space="0"/>
            </w:tcBorders>
            <w:shd w:val="clear" w:color="auto" w:fill="auto"/>
            <w:vAlign w:val="bottom"/>
          </w:tcPr>
          <w:p>
            <w:pPr>
              <w:pStyle w:val="14"/>
            </w:pPr>
            <w:r>
              <w:rPr>
                <w:rFonts w:hint="eastAsia"/>
                <w:lang w:eastAsia="zh-CN"/>
              </w:rPr>
              <w:t>□</w:t>
            </w:r>
            <w:r>
              <w:rPr>
                <w:rFonts w:hint="eastAsia"/>
              </w:rPr>
              <w:t xml:space="preserve">建筑与小区 </w:t>
            </w:r>
            <w:r>
              <w:rPr>
                <w:rFonts w:hint="eastAsia"/>
                <w:lang w:eastAsia="zh-CN"/>
              </w:rPr>
              <w:t>□</w:t>
            </w:r>
            <w:r>
              <w:rPr>
                <w:rFonts w:hint="eastAsia"/>
              </w:rPr>
              <w:t xml:space="preserve">城市道路 </w:t>
            </w:r>
            <w:r>
              <w:rPr>
                <w:rFonts w:hint="eastAsia"/>
                <w:lang w:eastAsia="zh-CN"/>
              </w:rPr>
              <w:t>□</w:t>
            </w:r>
            <w:r>
              <w:rPr>
                <w:rFonts w:hint="eastAsia"/>
              </w:rPr>
              <w:t>城市绿地</w:t>
            </w:r>
            <w:r>
              <w:rPr>
                <w:rFonts w:hint="eastAsia"/>
                <w:lang w:val="en-US" w:eastAsia="zh-CN"/>
              </w:rPr>
              <w:t xml:space="preserve"> </w:t>
            </w:r>
            <w:r>
              <w:rPr>
                <w:rFonts w:hint="eastAsia"/>
                <w:lang w:eastAsia="zh-CN"/>
              </w:rPr>
              <w:t>□</w:t>
            </w:r>
            <w:r>
              <w:rPr>
                <w:rFonts w:hint="eastAsia"/>
              </w:rPr>
              <w:t>城市广场</w:t>
            </w: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bottom"/>
          </w:tcPr>
          <w:p>
            <w:pPr>
              <w:pStyle w:val="14"/>
            </w:pPr>
            <w:r>
              <w:rPr>
                <w:rFonts w:hint="eastAsia"/>
              </w:rPr>
              <w:t>评价阶段</w:t>
            </w:r>
          </w:p>
        </w:tc>
        <w:tc>
          <w:tcPr>
            <w:tcW w:w="6422" w:type="dxa"/>
            <w:gridSpan w:val="7"/>
            <w:tcBorders>
              <w:top w:val="single" w:color="auto" w:sz="4" w:space="0"/>
              <w:left w:val="single" w:color="auto" w:sz="4" w:space="0"/>
              <w:bottom w:val="nil"/>
              <w:right w:val="single" w:color="auto" w:sz="4" w:space="0"/>
            </w:tcBorders>
            <w:shd w:val="clear" w:color="auto" w:fill="auto"/>
            <w:vAlign w:val="bottom"/>
          </w:tcPr>
          <w:p>
            <w:pPr>
              <w:pStyle w:val="14"/>
            </w:pPr>
            <w:r>
              <w:rPr>
                <w:rFonts w:hint="eastAsia"/>
                <w:lang w:eastAsia="zh-CN"/>
              </w:rPr>
              <w:t>□</w:t>
            </w:r>
            <w:r>
              <w:rPr>
                <w:rFonts w:hint="eastAsia"/>
              </w:rPr>
              <w:t>专项设计</w:t>
            </w:r>
            <w:r>
              <w:rPr>
                <w:rFonts w:hint="eastAsia"/>
              </w:rPr>
              <w:tab/>
            </w:r>
            <w:r>
              <w:rPr>
                <w:rFonts w:hint="eastAsia"/>
                <w:lang w:eastAsia="zh-CN"/>
              </w:rPr>
              <w:t>□</w:t>
            </w:r>
            <w:r>
              <w:rPr>
                <w:rFonts w:hint="eastAsia"/>
              </w:rPr>
              <w:t>施工建设</w:t>
            </w:r>
            <w:r>
              <w:rPr>
                <w:rFonts w:hint="eastAsia"/>
              </w:rPr>
              <w:tab/>
            </w:r>
            <w:r>
              <w:rPr>
                <w:rFonts w:hint="eastAsia"/>
              </w:rPr>
              <w:t>□运行维护</w:t>
            </w:r>
            <w:r>
              <w:rPr>
                <w:rFonts w:hint="eastAsia"/>
              </w:rPr>
              <w:tab/>
            </w:r>
            <w:r>
              <w:rPr>
                <w:rFonts w:hint="eastAsia"/>
              </w:rPr>
              <w:t>□建设效果</w:t>
            </w: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center"/>
          </w:tcPr>
          <w:p>
            <w:pPr>
              <w:pStyle w:val="14"/>
            </w:pPr>
            <w:r>
              <w:rPr>
                <w:rFonts w:hint="eastAsia"/>
              </w:rPr>
              <w:t>指标</w:t>
            </w:r>
          </w:p>
          <w:p>
            <w:pPr>
              <w:pStyle w:val="14"/>
            </w:pPr>
            <w:r>
              <w:rPr>
                <w:rFonts w:hint="eastAsia"/>
              </w:rPr>
              <w:t>类型</w:t>
            </w:r>
          </w:p>
        </w:tc>
        <w:tc>
          <w:tcPr>
            <w:tcW w:w="850" w:type="dxa"/>
            <w:tcBorders>
              <w:top w:val="single" w:color="auto" w:sz="4" w:space="0"/>
              <w:left w:val="single" w:color="auto" w:sz="4" w:space="0"/>
              <w:bottom w:val="nil"/>
              <w:right w:val="nil"/>
            </w:tcBorders>
            <w:shd w:val="clear" w:color="auto" w:fill="auto"/>
            <w:vAlign w:val="center"/>
          </w:tcPr>
          <w:p>
            <w:pPr>
              <w:pStyle w:val="14"/>
            </w:pPr>
            <w:r>
              <w:rPr>
                <w:rFonts w:hint="eastAsia"/>
              </w:rPr>
              <w:t>序号</w:t>
            </w:r>
          </w:p>
        </w:tc>
        <w:tc>
          <w:tcPr>
            <w:tcW w:w="1276" w:type="dxa"/>
            <w:tcBorders>
              <w:top w:val="single" w:color="auto" w:sz="4" w:space="0"/>
              <w:left w:val="single" w:color="auto" w:sz="4" w:space="0"/>
              <w:bottom w:val="nil"/>
              <w:right w:val="nil"/>
            </w:tcBorders>
            <w:shd w:val="clear" w:color="auto" w:fill="auto"/>
            <w:vAlign w:val="center"/>
          </w:tcPr>
          <w:p>
            <w:pPr>
              <w:pStyle w:val="14"/>
            </w:pPr>
            <w:r>
              <w:rPr>
                <w:rFonts w:hint="eastAsia"/>
              </w:rPr>
              <w:t>评价标准</w:t>
            </w:r>
          </w:p>
        </w:tc>
        <w:tc>
          <w:tcPr>
            <w:tcW w:w="992" w:type="dxa"/>
            <w:tcBorders>
              <w:top w:val="single" w:color="auto" w:sz="4" w:space="0"/>
              <w:left w:val="single" w:color="auto" w:sz="4" w:space="0"/>
              <w:bottom w:val="nil"/>
              <w:right w:val="nil"/>
            </w:tcBorders>
            <w:shd w:val="clear" w:color="auto" w:fill="auto"/>
            <w:vAlign w:val="center"/>
          </w:tcPr>
          <w:p>
            <w:pPr>
              <w:pStyle w:val="14"/>
            </w:pPr>
            <w:r>
              <w:rPr>
                <w:rFonts w:hint="eastAsia"/>
              </w:rPr>
              <w:t>标准总分</w:t>
            </w:r>
          </w:p>
        </w:tc>
        <w:tc>
          <w:tcPr>
            <w:tcW w:w="709" w:type="dxa"/>
            <w:tcBorders>
              <w:top w:val="single" w:color="auto" w:sz="4" w:space="0"/>
              <w:left w:val="single" w:color="auto" w:sz="4" w:space="0"/>
              <w:bottom w:val="nil"/>
              <w:right w:val="nil"/>
            </w:tcBorders>
            <w:shd w:val="clear" w:color="auto" w:fill="auto"/>
            <w:vAlign w:val="center"/>
          </w:tcPr>
          <w:p>
            <w:pPr>
              <w:pStyle w:val="14"/>
            </w:pPr>
            <w:r>
              <w:rPr>
                <w:rFonts w:hint="eastAsia"/>
              </w:rPr>
              <w:t>参评 与否</w:t>
            </w:r>
          </w:p>
        </w:tc>
        <w:tc>
          <w:tcPr>
            <w:tcW w:w="1701" w:type="dxa"/>
            <w:gridSpan w:val="2"/>
            <w:tcBorders>
              <w:top w:val="single" w:color="auto" w:sz="4" w:space="0"/>
              <w:left w:val="single" w:color="auto" w:sz="4" w:space="0"/>
              <w:bottom w:val="nil"/>
              <w:right w:val="nil"/>
            </w:tcBorders>
            <w:shd w:val="clear" w:color="auto" w:fill="auto"/>
            <w:vAlign w:val="center"/>
          </w:tcPr>
          <w:p>
            <w:pPr>
              <w:pStyle w:val="14"/>
            </w:pPr>
            <w:r>
              <w:rPr>
                <w:rFonts w:hint="eastAsia"/>
              </w:rPr>
              <w:t>评价</w:t>
            </w:r>
          </w:p>
          <w:p>
            <w:pPr>
              <w:pStyle w:val="14"/>
            </w:pPr>
            <w:r>
              <w:rPr>
                <w:rFonts w:hint="eastAsia"/>
              </w:rPr>
              <w:t>得分</w:t>
            </w:r>
          </w:p>
        </w:tc>
        <w:tc>
          <w:tcPr>
            <w:tcW w:w="894" w:type="dxa"/>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rPr>
              <w:t>评价结果</w:t>
            </w:r>
          </w:p>
        </w:tc>
      </w:tr>
      <w:tr>
        <w:trPr>
          <w:trHeight w:val="567" w:hRule="atLeast"/>
          <w:jc w:val="center"/>
        </w:trPr>
        <w:tc>
          <w:tcPr>
            <w:tcW w:w="2087" w:type="dxa"/>
            <w:vMerge w:val="restart"/>
            <w:tcBorders>
              <w:top w:val="single" w:color="auto" w:sz="4" w:space="0"/>
              <w:left w:val="single" w:color="auto" w:sz="4" w:space="0"/>
              <w:bottom w:val="nil"/>
              <w:right w:val="nil"/>
            </w:tcBorders>
            <w:shd w:val="clear" w:color="auto" w:fill="auto"/>
            <w:vAlign w:val="center"/>
          </w:tcPr>
          <w:p>
            <w:pPr>
              <w:pStyle w:val="14"/>
            </w:pPr>
            <w:r>
              <w:rPr>
                <w:rFonts w:hint="eastAsia"/>
              </w:rPr>
              <w:t>控制项</w:t>
            </w:r>
          </w:p>
        </w:tc>
        <w:tc>
          <w:tcPr>
            <w:tcW w:w="850" w:type="dxa"/>
            <w:tcBorders>
              <w:top w:val="single" w:color="auto" w:sz="4" w:space="0"/>
              <w:left w:val="single" w:color="auto" w:sz="4" w:space="0"/>
              <w:bottom w:val="nil"/>
              <w:right w:val="nil"/>
            </w:tcBorders>
            <w:shd w:val="clear" w:color="auto" w:fill="auto"/>
            <w:vAlign w:val="center"/>
          </w:tcPr>
          <w:p>
            <w:pPr>
              <w:pStyle w:val="14"/>
            </w:pPr>
            <w:r>
              <w:t>1</w:t>
            </w: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vAlign w:val="center"/>
          </w:tcPr>
          <w:p>
            <w:pPr>
              <w:pStyle w:val="14"/>
            </w:pPr>
            <w:r>
              <w:rPr>
                <w:rFonts w:hint="eastAsia"/>
              </w:rPr>
              <w:t>-</w:t>
            </w:r>
          </w:p>
        </w:tc>
        <w:tc>
          <w:tcPr>
            <w:tcW w:w="709" w:type="dxa"/>
            <w:tcBorders>
              <w:top w:val="single" w:color="auto" w:sz="4" w:space="0"/>
              <w:left w:val="single" w:color="auto" w:sz="4" w:space="0"/>
              <w:bottom w:val="nil"/>
              <w:right w:val="nil"/>
            </w:tcBorders>
            <w:shd w:val="clear" w:color="auto" w:fill="auto"/>
          </w:tcPr>
          <w:p>
            <w:pPr>
              <w:pStyle w:val="14"/>
            </w:pPr>
          </w:p>
        </w:tc>
        <w:tc>
          <w:tcPr>
            <w:tcW w:w="1701" w:type="dxa"/>
            <w:gridSpan w:val="2"/>
            <w:tcBorders>
              <w:top w:val="single" w:color="auto" w:sz="4" w:space="0"/>
              <w:left w:val="single" w:color="auto" w:sz="4" w:space="0"/>
              <w:bottom w:val="nil"/>
              <w:right w:val="nil"/>
            </w:tcBorders>
            <w:shd w:val="clear" w:color="auto" w:fill="auto"/>
            <w:vAlign w:val="center"/>
          </w:tcPr>
          <w:p>
            <w:pPr>
              <w:pStyle w:val="14"/>
            </w:pPr>
            <w:r>
              <w:rPr>
                <w:rFonts w:hint="eastAsia"/>
                <w:lang w:eastAsia="zh-CN"/>
              </w:rPr>
              <w:t>□</w:t>
            </w:r>
            <w:r>
              <w:rPr>
                <w:rFonts w:hint="eastAsia"/>
              </w:rPr>
              <w:t>满足</w:t>
            </w:r>
            <w:r>
              <w:rPr>
                <w:rFonts w:hint="eastAsia"/>
                <w:lang w:eastAsia="zh-CN"/>
              </w:rPr>
              <w:t>□</w:t>
            </w:r>
            <w:r>
              <w:rPr>
                <w:rFonts w:hint="eastAsia"/>
              </w:rPr>
              <w:t>不满足</w:t>
            </w:r>
          </w:p>
        </w:tc>
        <w:tc>
          <w:tcPr>
            <w:tcW w:w="894" w:type="dxa"/>
            <w:vMerge w:val="restart"/>
            <w:tcBorders>
              <w:top w:val="single" w:color="auto" w:sz="4" w:space="0"/>
              <w:left w:val="single" w:color="auto" w:sz="4" w:space="0"/>
              <w:bottom w:val="nil"/>
              <w:right w:val="single" w:color="auto" w:sz="4" w:space="0"/>
            </w:tcBorders>
            <w:shd w:val="clear" w:color="auto" w:fill="auto"/>
            <w:vAlign w:val="center"/>
          </w:tcPr>
          <w:p>
            <w:pPr>
              <w:pStyle w:val="14"/>
            </w:pPr>
            <w:r>
              <w:rPr>
                <w:rFonts w:hint="eastAsia"/>
                <w:lang w:eastAsia="zh-CN"/>
              </w:rPr>
              <w:t>□</w:t>
            </w:r>
            <w:r>
              <w:rPr>
                <w:rFonts w:hint="eastAsia"/>
              </w:rPr>
              <w:t xml:space="preserve">满足 </w:t>
            </w:r>
            <w:r>
              <w:rPr>
                <w:rFonts w:hint="eastAsia"/>
                <w:lang w:eastAsia="zh-CN"/>
              </w:rPr>
              <w:t>□</w:t>
            </w:r>
            <w:r>
              <w:rPr>
                <w:rFonts w:hint="eastAsia"/>
              </w:rPr>
              <w:t>不满足</w:t>
            </w:r>
          </w:p>
        </w:tc>
      </w:tr>
      <w:tr>
        <w:trPr>
          <w:trHeight w:val="567" w:hRule="atLeast"/>
          <w:jc w:val="center"/>
        </w:trPr>
        <w:tc>
          <w:tcPr>
            <w:tcW w:w="2087" w:type="dxa"/>
            <w:vMerge w:val="continue"/>
            <w:tcBorders>
              <w:top w:val="single" w:color="auto" w:sz="4" w:space="0"/>
              <w:left w:val="single" w:color="auto" w:sz="4" w:space="0"/>
              <w:bottom w:val="nil"/>
              <w:right w:val="nil"/>
            </w:tcBorders>
            <w:shd w:val="clear" w:color="auto" w:fill="auto"/>
            <w:vAlign w:val="center"/>
          </w:tcPr>
          <w:p>
            <w:pPr>
              <w:pStyle w:val="14"/>
            </w:pPr>
          </w:p>
        </w:tc>
        <w:tc>
          <w:tcPr>
            <w:tcW w:w="850" w:type="dxa"/>
            <w:tcBorders>
              <w:top w:val="single" w:color="auto" w:sz="4" w:space="0"/>
              <w:left w:val="single" w:color="auto" w:sz="4" w:space="0"/>
              <w:bottom w:val="nil"/>
              <w:right w:val="nil"/>
            </w:tcBorders>
            <w:shd w:val="clear" w:color="auto" w:fill="auto"/>
            <w:vAlign w:val="center"/>
          </w:tcPr>
          <w:p>
            <w:pPr>
              <w:pStyle w:val="14"/>
            </w:pPr>
            <w:r>
              <w:t>2</w:t>
            </w: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vAlign w:val="center"/>
          </w:tcPr>
          <w:p>
            <w:pPr>
              <w:pStyle w:val="14"/>
            </w:pPr>
            <w:r>
              <w:rPr>
                <w:rFonts w:hint="eastAsia"/>
              </w:rPr>
              <w:t>-</w:t>
            </w:r>
          </w:p>
        </w:tc>
        <w:tc>
          <w:tcPr>
            <w:tcW w:w="709" w:type="dxa"/>
            <w:tcBorders>
              <w:top w:val="single" w:color="auto" w:sz="4" w:space="0"/>
              <w:left w:val="single" w:color="auto" w:sz="4" w:space="0"/>
              <w:bottom w:val="nil"/>
              <w:right w:val="nil"/>
            </w:tcBorders>
            <w:shd w:val="clear" w:color="auto" w:fill="auto"/>
          </w:tcPr>
          <w:p>
            <w:pPr>
              <w:pStyle w:val="14"/>
            </w:pPr>
          </w:p>
        </w:tc>
        <w:tc>
          <w:tcPr>
            <w:tcW w:w="1701" w:type="dxa"/>
            <w:gridSpan w:val="2"/>
            <w:tcBorders>
              <w:top w:val="single" w:color="auto" w:sz="4" w:space="0"/>
              <w:left w:val="single" w:color="auto" w:sz="4" w:space="0"/>
              <w:bottom w:val="nil"/>
              <w:right w:val="nil"/>
            </w:tcBorders>
            <w:shd w:val="clear" w:color="auto" w:fill="auto"/>
            <w:vAlign w:val="center"/>
          </w:tcPr>
          <w:p>
            <w:pPr>
              <w:pStyle w:val="14"/>
            </w:pPr>
            <w:r>
              <w:rPr>
                <w:rFonts w:hint="eastAsia"/>
                <w:lang w:eastAsia="zh-CN"/>
              </w:rPr>
              <w:t>□</w:t>
            </w:r>
            <w:r>
              <w:rPr>
                <w:rFonts w:hint="eastAsia"/>
              </w:rPr>
              <w:t>满足</w:t>
            </w:r>
            <w:r>
              <w:rPr>
                <w:rFonts w:hint="eastAsia"/>
                <w:lang w:eastAsia="zh-CN"/>
              </w:rPr>
              <w:t>□</w:t>
            </w:r>
            <w:r>
              <w:rPr>
                <w:rFonts w:hint="eastAsia"/>
              </w:rPr>
              <w:t>不满足</w:t>
            </w:r>
          </w:p>
        </w:tc>
        <w:tc>
          <w:tcPr>
            <w:tcW w:w="894" w:type="dxa"/>
            <w:vMerge w:val="continue"/>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567" w:hRule="atLeast"/>
          <w:jc w:val="center"/>
        </w:trPr>
        <w:tc>
          <w:tcPr>
            <w:tcW w:w="2087" w:type="dxa"/>
            <w:vMerge w:val="continue"/>
            <w:tcBorders>
              <w:top w:val="single" w:color="auto" w:sz="4" w:space="0"/>
              <w:left w:val="single" w:color="auto" w:sz="4" w:space="0"/>
              <w:bottom w:val="nil"/>
              <w:right w:val="nil"/>
            </w:tcBorders>
            <w:shd w:val="clear" w:color="auto" w:fill="auto"/>
            <w:vAlign w:val="center"/>
          </w:tcPr>
          <w:p>
            <w:pPr>
              <w:pStyle w:val="14"/>
            </w:pPr>
          </w:p>
        </w:tc>
        <w:tc>
          <w:tcPr>
            <w:tcW w:w="850" w:type="dxa"/>
            <w:tcBorders>
              <w:top w:val="single" w:color="auto" w:sz="4" w:space="0"/>
              <w:left w:val="single" w:color="auto" w:sz="4" w:space="0"/>
              <w:bottom w:val="nil"/>
              <w:right w:val="nil"/>
            </w:tcBorders>
            <w:shd w:val="clear" w:color="auto" w:fill="auto"/>
            <w:vAlign w:val="center"/>
          </w:tcPr>
          <w:p>
            <w:pPr>
              <w:pStyle w:val="14"/>
            </w:pPr>
            <w:r>
              <w:t>3</w:t>
            </w: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vAlign w:val="center"/>
          </w:tcPr>
          <w:p>
            <w:pPr>
              <w:pStyle w:val="14"/>
            </w:pPr>
            <w:r>
              <w:rPr>
                <w:rFonts w:hint="eastAsia"/>
              </w:rPr>
              <w:t>-</w:t>
            </w:r>
          </w:p>
        </w:tc>
        <w:tc>
          <w:tcPr>
            <w:tcW w:w="709" w:type="dxa"/>
            <w:tcBorders>
              <w:top w:val="single" w:color="auto" w:sz="4" w:space="0"/>
              <w:left w:val="single" w:color="auto" w:sz="4" w:space="0"/>
              <w:bottom w:val="nil"/>
              <w:right w:val="nil"/>
            </w:tcBorders>
            <w:shd w:val="clear" w:color="auto" w:fill="auto"/>
          </w:tcPr>
          <w:p>
            <w:pPr>
              <w:pStyle w:val="14"/>
            </w:pPr>
          </w:p>
        </w:tc>
        <w:tc>
          <w:tcPr>
            <w:tcW w:w="1701" w:type="dxa"/>
            <w:gridSpan w:val="2"/>
            <w:tcBorders>
              <w:top w:val="single" w:color="auto" w:sz="4" w:space="0"/>
              <w:left w:val="single" w:color="auto" w:sz="4" w:space="0"/>
              <w:bottom w:val="nil"/>
              <w:right w:val="nil"/>
            </w:tcBorders>
            <w:shd w:val="clear" w:color="auto" w:fill="auto"/>
            <w:vAlign w:val="center"/>
          </w:tcPr>
          <w:p>
            <w:pPr>
              <w:pStyle w:val="14"/>
            </w:pPr>
            <w:r>
              <w:rPr>
                <w:rFonts w:hint="eastAsia"/>
                <w:lang w:eastAsia="zh-CN"/>
              </w:rPr>
              <w:t>□</w:t>
            </w:r>
            <w:r>
              <w:rPr>
                <w:rFonts w:hint="eastAsia"/>
              </w:rPr>
              <w:t>满足</w:t>
            </w:r>
            <w:r>
              <w:rPr>
                <w:rFonts w:hint="eastAsia"/>
                <w:lang w:eastAsia="zh-CN"/>
              </w:rPr>
              <w:t>□</w:t>
            </w:r>
            <w:r>
              <w:rPr>
                <w:rFonts w:hint="eastAsia"/>
              </w:rPr>
              <w:t>不满足</w:t>
            </w:r>
          </w:p>
        </w:tc>
        <w:tc>
          <w:tcPr>
            <w:tcW w:w="894" w:type="dxa"/>
            <w:vMerge w:val="continue"/>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567" w:hRule="atLeast"/>
          <w:jc w:val="center"/>
        </w:trPr>
        <w:tc>
          <w:tcPr>
            <w:tcW w:w="2087" w:type="dxa"/>
            <w:vMerge w:val="continue"/>
            <w:tcBorders>
              <w:top w:val="single" w:color="auto" w:sz="4" w:space="0"/>
              <w:left w:val="single" w:color="auto" w:sz="4" w:space="0"/>
              <w:bottom w:val="nil"/>
              <w:right w:val="nil"/>
            </w:tcBorders>
            <w:shd w:val="clear" w:color="auto" w:fill="auto"/>
            <w:vAlign w:val="center"/>
          </w:tcPr>
          <w:p>
            <w:pPr>
              <w:pStyle w:val="14"/>
            </w:pPr>
          </w:p>
        </w:tc>
        <w:tc>
          <w:tcPr>
            <w:tcW w:w="850" w:type="dxa"/>
            <w:tcBorders>
              <w:top w:val="single" w:color="auto" w:sz="4" w:space="0"/>
              <w:left w:val="single" w:color="auto" w:sz="4" w:space="0"/>
              <w:bottom w:val="nil"/>
              <w:right w:val="nil"/>
            </w:tcBorders>
            <w:shd w:val="clear" w:color="auto" w:fill="auto"/>
          </w:tcPr>
          <w:p>
            <w:pPr>
              <w:pStyle w:val="14"/>
            </w:pP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vAlign w:val="center"/>
          </w:tcPr>
          <w:p>
            <w:pPr>
              <w:pStyle w:val="14"/>
            </w:pPr>
            <w:r>
              <w:rPr>
                <w:rFonts w:hint="eastAsia"/>
              </w:rPr>
              <w:t>-</w:t>
            </w:r>
          </w:p>
        </w:tc>
        <w:tc>
          <w:tcPr>
            <w:tcW w:w="709" w:type="dxa"/>
            <w:tcBorders>
              <w:top w:val="single" w:color="auto" w:sz="4" w:space="0"/>
              <w:left w:val="single" w:color="auto" w:sz="4" w:space="0"/>
              <w:bottom w:val="nil"/>
              <w:right w:val="nil"/>
            </w:tcBorders>
            <w:shd w:val="clear" w:color="auto" w:fill="auto"/>
          </w:tcPr>
          <w:p>
            <w:pPr>
              <w:pStyle w:val="14"/>
            </w:pPr>
          </w:p>
        </w:tc>
        <w:tc>
          <w:tcPr>
            <w:tcW w:w="1701" w:type="dxa"/>
            <w:gridSpan w:val="2"/>
            <w:tcBorders>
              <w:top w:val="single" w:color="auto" w:sz="4" w:space="0"/>
              <w:left w:val="single" w:color="auto" w:sz="4" w:space="0"/>
              <w:bottom w:val="nil"/>
              <w:right w:val="nil"/>
            </w:tcBorders>
            <w:shd w:val="clear" w:color="auto" w:fill="auto"/>
          </w:tcPr>
          <w:p>
            <w:pPr>
              <w:pStyle w:val="14"/>
            </w:pPr>
          </w:p>
        </w:tc>
        <w:tc>
          <w:tcPr>
            <w:tcW w:w="894" w:type="dxa"/>
            <w:vMerge w:val="continue"/>
            <w:tcBorders>
              <w:top w:val="single" w:color="auto" w:sz="4" w:space="0"/>
              <w:left w:val="single" w:color="auto" w:sz="4" w:space="0"/>
              <w:bottom w:val="nil"/>
              <w:right w:val="single" w:color="auto" w:sz="4" w:space="0"/>
            </w:tcBorders>
            <w:shd w:val="clear" w:color="auto" w:fill="auto"/>
            <w:vAlign w:val="center"/>
          </w:tcPr>
          <w:p>
            <w:pPr>
              <w:pStyle w:val="14"/>
            </w:pPr>
          </w:p>
        </w:tc>
      </w:tr>
      <w:tr>
        <w:trPr>
          <w:trHeight w:val="567" w:hRule="atLeast"/>
          <w:jc w:val="center"/>
        </w:trPr>
        <w:tc>
          <w:tcPr>
            <w:tcW w:w="2087" w:type="dxa"/>
            <w:vMerge w:val="restart"/>
            <w:tcBorders>
              <w:top w:val="single" w:color="auto" w:sz="4" w:space="0"/>
              <w:left w:val="single" w:color="auto" w:sz="4" w:space="0"/>
              <w:bottom w:val="nil"/>
              <w:right w:val="nil"/>
            </w:tcBorders>
            <w:shd w:val="clear" w:color="auto" w:fill="auto"/>
            <w:vAlign w:val="center"/>
          </w:tcPr>
          <w:p>
            <w:pPr>
              <w:pStyle w:val="14"/>
            </w:pPr>
            <w:r>
              <w:rPr>
                <w:rFonts w:hint="eastAsia"/>
              </w:rPr>
              <w:t>评分项</w:t>
            </w:r>
          </w:p>
        </w:tc>
        <w:tc>
          <w:tcPr>
            <w:tcW w:w="850" w:type="dxa"/>
            <w:tcBorders>
              <w:top w:val="single" w:color="auto" w:sz="4" w:space="0"/>
              <w:left w:val="single" w:color="auto" w:sz="4" w:space="0"/>
              <w:bottom w:val="nil"/>
              <w:right w:val="nil"/>
            </w:tcBorders>
            <w:shd w:val="clear" w:color="auto" w:fill="auto"/>
            <w:vAlign w:val="center"/>
          </w:tcPr>
          <w:p>
            <w:pPr>
              <w:pStyle w:val="14"/>
            </w:pPr>
            <w:r>
              <w:t>1</w:t>
            </w: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tcPr>
          <w:p>
            <w:pPr>
              <w:pStyle w:val="14"/>
            </w:pPr>
          </w:p>
        </w:tc>
        <w:tc>
          <w:tcPr>
            <w:tcW w:w="709" w:type="dxa"/>
            <w:tcBorders>
              <w:top w:val="single" w:color="auto" w:sz="4" w:space="0"/>
              <w:left w:val="single" w:color="auto" w:sz="4" w:space="0"/>
              <w:bottom w:val="nil"/>
              <w:right w:val="nil"/>
            </w:tcBorders>
            <w:shd w:val="clear" w:color="auto" w:fill="auto"/>
          </w:tcPr>
          <w:p>
            <w:pPr>
              <w:pStyle w:val="14"/>
            </w:pPr>
          </w:p>
        </w:tc>
        <w:tc>
          <w:tcPr>
            <w:tcW w:w="1701" w:type="dxa"/>
            <w:gridSpan w:val="2"/>
            <w:tcBorders>
              <w:top w:val="single" w:color="auto" w:sz="4" w:space="0"/>
              <w:left w:val="single" w:color="auto" w:sz="4" w:space="0"/>
              <w:bottom w:val="nil"/>
              <w:right w:val="nil"/>
            </w:tcBorders>
            <w:shd w:val="clear" w:color="auto" w:fill="auto"/>
          </w:tcPr>
          <w:p>
            <w:pPr>
              <w:pStyle w:val="14"/>
            </w:pPr>
          </w:p>
        </w:tc>
        <w:tc>
          <w:tcPr>
            <w:tcW w:w="894" w:type="dxa"/>
            <w:vMerge w:val="restart"/>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vMerge w:val="continue"/>
            <w:tcBorders>
              <w:top w:val="single" w:color="auto" w:sz="4" w:space="0"/>
              <w:left w:val="single" w:color="auto" w:sz="4" w:space="0"/>
              <w:bottom w:val="nil"/>
              <w:right w:val="nil"/>
            </w:tcBorders>
            <w:shd w:val="clear" w:color="auto" w:fill="auto"/>
            <w:vAlign w:val="center"/>
          </w:tcPr>
          <w:p>
            <w:pPr>
              <w:pStyle w:val="14"/>
            </w:pPr>
          </w:p>
        </w:tc>
        <w:tc>
          <w:tcPr>
            <w:tcW w:w="850" w:type="dxa"/>
            <w:tcBorders>
              <w:top w:val="single" w:color="auto" w:sz="4" w:space="0"/>
              <w:left w:val="single" w:color="auto" w:sz="4" w:space="0"/>
              <w:bottom w:val="nil"/>
              <w:right w:val="nil"/>
            </w:tcBorders>
            <w:shd w:val="clear" w:color="auto" w:fill="auto"/>
            <w:vAlign w:val="center"/>
          </w:tcPr>
          <w:p>
            <w:pPr>
              <w:pStyle w:val="14"/>
            </w:pPr>
            <w:r>
              <w:t>2</w:t>
            </w: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tcPr>
          <w:p>
            <w:pPr>
              <w:pStyle w:val="14"/>
            </w:pPr>
          </w:p>
        </w:tc>
        <w:tc>
          <w:tcPr>
            <w:tcW w:w="709" w:type="dxa"/>
            <w:tcBorders>
              <w:top w:val="single" w:color="auto" w:sz="4" w:space="0"/>
              <w:left w:val="single" w:color="auto" w:sz="4" w:space="0"/>
              <w:bottom w:val="nil"/>
              <w:right w:val="nil"/>
            </w:tcBorders>
            <w:shd w:val="clear" w:color="auto" w:fill="auto"/>
          </w:tcPr>
          <w:p>
            <w:pPr>
              <w:pStyle w:val="14"/>
            </w:pPr>
          </w:p>
        </w:tc>
        <w:tc>
          <w:tcPr>
            <w:tcW w:w="1701" w:type="dxa"/>
            <w:gridSpan w:val="2"/>
            <w:tcBorders>
              <w:top w:val="single" w:color="auto" w:sz="4" w:space="0"/>
              <w:left w:val="single" w:color="auto" w:sz="4" w:space="0"/>
              <w:bottom w:val="nil"/>
              <w:right w:val="nil"/>
            </w:tcBorders>
            <w:shd w:val="clear" w:color="auto" w:fill="auto"/>
          </w:tcPr>
          <w:p>
            <w:pPr>
              <w:pStyle w:val="14"/>
            </w:pPr>
          </w:p>
        </w:tc>
        <w:tc>
          <w:tcPr>
            <w:tcW w:w="894" w:type="dxa"/>
            <w:vMerge w:val="continue"/>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vMerge w:val="continue"/>
            <w:tcBorders>
              <w:top w:val="single" w:color="auto" w:sz="4" w:space="0"/>
              <w:left w:val="single" w:color="auto" w:sz="4" w:space="0"/>
              <w:bottom w:val="nil"/>
              <w:right w:val="nil"/>
            </w:tcBorders>
            <w:shd w:val="clear" w:color="auto" w:fill="auto"/>
            <w:vAlign w:val="center"/>
          </w:tcPr>
          <w:p>
            <w:pPr>
              <w:pStyle w:val="14"/>
            </w:pPr>
          </w:p>
        </w:tc>
        <w:tc>
          <w:tcPr>
            <w:tcW w:w="850" w:type="dxa"/>
            <w:tcBorders>
              <w:top w:val="single" w:color="auto" w:sz="4" w:space="0"/>
              <w:left w:val="single" w:color="auto" w:sz="4" w:space="0"/>
              <w:bottom w:val="nil"/>
              <w:right w:val="nil"/>
            </w:tcBorders>
            <w:shd w:val="clear" w:color="auto" w:fill="auto"/>
            <w:vAlign w:val="center"/>
          </w:tcPr>
          <w:p>
            <w:pPr>
              <w:pStyle w:val="14"/>
            </w:pPr>
            <w:r>
              <w:t>3</w:t>
            </w: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tcPr>
          <w:p>
            <w:pPr>
              <w:pStyle w:val="14"/>
            </w:pPr>
          </w:p>
        </w:tc>
        <w:tc>
          <w:tcPr>
            <w:tcW w:w="709" w:type="dxa"/>
            <w:tcBorders>
              <w:top w:val="single" w:color="auto" w:sz="4" w:space="0"/>
              <w:left w:val="single" w:color="auto" w:sz="4" w:space="0"/>
              <w:bottom w:val="nil"/>
              <w:right w:val="nil"/>
            </w:tcBorders>
            <w:shd w:val="clear" w:color="auto" w:fill="auto"/>
          </w:tcPr>
          <w:p>
            <w:pPr>
              <w:pStyle w:val="14"/>
            </w:pPr>
          </w:p>
        </w:tc>
        <w:tc>
          <w:tcPr>
            <w:tcW w:w="1701" w:type="dxa"/>
            <w:gridSpan w:val="2"/>
            <w:tcBorders>
              <w:top w:val="single" w:color="auto" w:sz="4" w:space="0"/>
              <w:left w:val="single" w:color="auto" w:sz="4" w:space="0"/>
              <w:bottom w:val="nil"/>
              <w:right w:val="nil"/>
            </w:tcBorders>
            <w:shd w:val="clear" w:color="auto" w:fill="auto"/>
          </w:tcPr>
          <w:p>
            <w:pPr>
              <w:pStyle w:val="14"/>
            </w:pPr>
          </w:p>
        </w:tc>
        <w:tc>
          <w:tcPr>
            <w:tcW w:w="894" w:type="dxa"/>
            <w:vMerge w:val="continue"/>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vMerge w:val="continue"/>
            <w:tcBorders>
              <w:top w:val="single" w:color="auto" w:sz="4" w:space="0"/>
              <w:left w:val="single" w:color="auto" w:sz="4" w:space="0"/>
              <w:bottom w:val="nil"/>
              <w:right w:val="nil"/>
            </w:tcBorders>
            <w:shd w:val="clear" w:color="auto" w:fill="auto"/>
            <w:vAlign w:val="center"/>
          </w:tcPr>
          <w:p>
            <w:pPr>
              <w:pStyle w:val="14"/>
            </w:pPr>
          </w:p>
        </w:tc>
        <w:tc>
          <w:tcPr>
            <w:tcW w:w="850" w:type="dxa"/>
            <w:tcBorders>
              <w:top w:val="single" w:color="auto" w:sz="4" w:space="0"/>
              <w:left w:val="single" w:color="auto" w:sz="4" w:space="0"/>
              <w:bottom w:val="single" w:color="auto" w:sz="4" w:space="0"/>
              <w:right w:val="nil"/>
            </w:tcBorders>
            <w:shd w:val="clear" w:color="auto" w:fill="auto"/>
          </w:tcPr>
          <w:p>
            <w:pPr>
              <w:pStyle w:val="14"/>
            </w:pPr>
          </w:p>
        </w:tc>
        <w:tc>
          <w:tcPr>
            <w:tcW w:w="1276" w:type="dxa"/>
            <w:tcBorders>
              <w:top w:val="single" w:color="auto" w:sz="4" w:space="0"/>
              <w:left w:val="single" w:color="auto" w:sz="4" w:space="0"/>
              <w:bottom w:val="nil"/>
              <w:right w:val="nil"/>
            </w:tcBorders>
            <w:shd w:val="clear" w:color="auto" w:fill="auto"/>
          </w:tcPr>
          <w:p>
            <w:pPr>
              <w:pStyle w:val="14"/>
            </w:pPr>
          </w:p>
        </w:tc>
        <w:tc>
          <w:tcPr>
            <w:tcW w:w="992" w:type="dxa"/>
            <w:tcBorders>
              <w:top w:val="single" w:color="auto" w:sz="4" w:space="0"/>
              <w:left w:val="single" w:color="auto" w:sz="4" w:space="0"/>
              <w:bottom w:val="nil"/>
              <w:right w:val="nil"/>
            </w:tcBorders>
            <w:shd w:val="clear" w:color="auto" w:fill="auto"/>
          </w:tcPr>
          <w:p>
            <w:pPr>
              <w:pStyle w:val="14"/>
            </w:pPr>
          </w:p>
        </w:tc>
        <w:tc>
          <w:tcPr>
            <w:tcW w:w="709" w:type="dxa"/>
            <w:tcBorders>
              <w:top w:val="single" w:color="auto" w:sz="4" w:space="0"/>
              <w:left w:val="single" w:color="auto" w:sz="4" w:space="0"/>
              <w:bottom w:val="single" w:color="auto" w:sz="4" w:space="0"/>
              <w:right w:val="nil"/>
            </w:tcBorders>
            <w:shd w:val="clear" w:color="auto" w:fill="auto"/>
          </w:tcPr>
          <w:p>
            <w:pPr>
              <w:pStyle w:val="14"/>
            </w:pPr>
          </w:p>
        </w:tc>
        <w:tc>
          <w:tcPr>
            <w:tcW w:w="1701" w:type="dxa"/>
            <w:gridSpan w:val="2"/>
            <w:tcBorders>
              <w:top w:val="single" w:color="auto" w:sz="4" w:space="0"/>
              <w:left w:val="single" w:color="auto" w:sz="4" w:space="0"/>
              <w:bottom w:val="single" w:color="auto" w:sz="4" w:space="0"/>
              <w:right w:val="nil"/>
            </w:tcBorders>
            <w:shd w:val="clear" w:color="auto" w:fill="auto"/>
          </w:tcPr>
          <w:p>
            <w:pPr>
              <w:pStyle w:val="14"/>
            </w:pPr>
          </w:p>
        </w:tc>
        <w:tc>
          <w:tcPr>
            <w:tcW w:w="894" w:type="dxa"/>
            <w:vMerge w:val="continue"/>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4213" w:type="dxa"/>
            <w:gridSpan w:val="3"/>
            <w:tcBorders>
              <w:top w:val="single" w:color="auto" w:sz="4" w:space="0"/>
              <w:left w:val="single" w:color="auto" w:sz="4" w:space="0"/>
              <w:bottom w:val="nil"/>
              <w:right w:val="nil"/>
            </w:tcBorders>
            <w:shd w:val="clear" w:color="auto" w:fill="auto"/>
            <w:vAlign w:val="bottom"/>
          </w:tcPr>
          <w:p>
            <w:pPr>
              <w:pStyle w:val="14"/>
            </w:pPr>
            <w:r>
              <w:rPr>
                <w:rFonts w:hint="eastAsia"/>
              </w:rPr>
              <w:t>参评项总分</w:t>
            </w:r>
          </w:p>
        </w:tc>
        <w:tc>
          <w:tcPr>
            <w:tcW w:w="3402" w:type="dxa"/>
            <w:gridSpan w:val="4"/>
            <w:tcBorders>
              <w:top w:val="single" w:color="auto" w:sz="4" w:space="0"/>
              <w:left w:val="single" w:color="auto" w:sz="4" w:space="0"/>
              <w:bottom w:val="nil"/>
              <w:right w:val="nil"/>
            </w:tcBorders>
            <w:shd w:val="clear" w:color="auto" w:fill="auto"/>
          </w:tcPr>
          <w:p>
            <w:pPr>
              <w:pStyle w:val="14"/>
            </w:pPr>
          </w:p>
        </w:tc>
        <w:tc>
          <w:tcPr>
            <w:tcW w:w="894" w:type="dxa"/>
            <w:vMerge w:val="continue"/>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4213" w:type="dxa"/>
            <w:gridSpan w:val="3"/>
            <w:tcBorders>
              <w:top w:val="single" w:color="auto" w:sz="4" w:space="0"/>
              <w:left w:val="single" w:color="auto" w:sz="4" w:space="0"/>
              <w:bottom w:val="nil"/>
              <w:right w:val="nil"/>
            </w:tcBorders>
            <w:shd w:val="clear" w:color="auto" w:fill="auto"/>
            <w:vAlign w:val="bottom"/>
          </w:tcPr>
          <w:p>
            <w:pPr>
              <w:pStyle w:val="14"/>
            </w:pPr>
            <w:r>
              <w:rPr>
                <w:rFonts w:hint="eastAsia"/>
              </w:rPr>
              <w:t>评价总得分</w:t>
            </w:r>
          </w:p>
        </w:tc>
        <w:tc>
          <w:tcPr>
            <w:tcW w:w="3402" w:type="dxa"/>
            <w:gridSpan w:val="4"/>
            <w:tcBorders>
              <w:top w:val="single" w:color="auto" w:sz="4" w:space="0"/>
              <w:left w:val="single" w:color="auto" w:sz="4" w:space="0"/>
              <w:bottom w:val="single" w:color="auto" w:sz="4" w:space="0"/>
              <w:right w:val="nil"/>
            </w:tcBorders>
            <w:shd w:val="clear" w:color="auto" w:fill="auto"/>
          </w:tcPr>
          <w:p>
            <w:pPr>
              <w:pStyle w:val="14"/>
            </w:pPr>
          </w:p>
        </w:tc>
        <w:tc>
          <w:tcPr>
            <w:tcW w:w="894" w:type="dxa"/>
            <w:vMerge w:val="continue"/>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tcBorders>
              <w:top w:val="single" w:color="auto" w:sz="4" w:space="0"/>
              <w:left w:val="single" w:color="auto" w:sz="4" w:space="0"/>
              <w:bottom w:val="nil"/>
              <w:right w:val="nil"/>
            </w:tcBorders>
            <w:shd w:val="clear" w:color="auto" w:fill="auto"/>
            <w:vAlign w:val="center"/>
          </w:tcPr>
          <w:p>
            <w:pPr>
              <w:pStyle w:val="14"/>
            </w:pPr>
            <w:r>
              <w:rPr>
                <w:rFonts w:hint="eastAsia"/>
              </w:rPr>
              <w:t>评价意见 及建议</w:t>
            </w:r>
          </w:p>
        </w:tc>
        <w:tc>
          <w:tcPr>
            <w:tcW w:w="6422" w:type="dxa"/>
            <w:gridSpan w:val="7"/>
            <w:tcBorders>
              <w:top w:val="single" w:color="auto" w:sz="4" w:space="0"/>
              <w:left w:val="single" w:color="auto" w:sz="4" w:space="0"/>
              <w:bottom w:val="nil"/>
              <w:right w:val="single" w:color="auto" w:sz="4" w:space="0"/>
            </w:tcBorders>
            <w:shd w:val="clear" w:color="auto" w:fill="auto"/>
          </w:tcPr>
          <w:p>
            <w:pPr>
              <w:pStyle w:val="14"/>
            </w:pPr>
          </w:p>
        </w:tc>
      </w:tr>
      <w:tr>
        <w:trPr>
          <w:trHeight w:val="567" w:hRule="atLeast"/>
          <w:jc w:val="center"/>
        </w:trPr>
        <w:tc>
          <w:tcPr>
            <w:tcW w:w="2087" w:type="dxa"/>
            <w:tcBorders>
              <w:top w:val="single" w:color="auto" w:sz="4" w:space="0"/>
              <w:left w:val="single" w:color="auto" w:sz="4" w:space="0"/>
              <w:bottom w:val="single" w:color="auto" w:sz="4" w:space="0"/>
              <w:right w:val="nil"/>
            </w:tcBorders>
            <w:shd w:val="clear" w:color="auto" w:fill="auto"/>
            <w:vAlign w:val="center"/>
          </w:tcPr>
          <w:p>
            <w:pPr>
              <w:pStyle w:val="14"/>
            </w:pPr>
            <w:r>
              <w:rPr>
                <w:rFonts w:hint="eastAsia"/>
              </w:rPr>
              <w:t>评价人</w:t>
            </w:r>
          </w:p>
        </w:tc>
        <w:tc>
          <w:tcPr>
            <w:tcW w:w="6422"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14"/>
            </w:pPr>
            <w:r>
              <w:rPr>
                <w:rFonts w:hint="eastAsia"/>
              </w:rPr>
              <w:t>（签名）</w:t>
            </w:r>
          </w:p>
        </w:tc>
      </w:tr>
    </w:tbl>
    <w:p>
      <w:pPr>
        <w:spacing w:after="79" w:line="1" w:lineRule="exact"/>
        <w:jc w:val="left"/>
        <w:rPr>
          <w:rFonts w:cs="Times New Roman"/>
        </w:rPr>
      </w:pPr>
      <w:r>
        <w:rPr>
          <w:rFonts w:cs="Times New Roman"/>
          <w:kern w:val="0"/>
          <w:lang w:bidi="ar"/>
        </w:rPr>
        <w:t xml:space="preserve"> </w:t>
      </w:r>
    </w:p>
    <w:p>
      <w:pPr>
        <w:pStyle w:val="10"/>
        <w:ind w:firstLine="420"/>
        <w:jc w:val="both"/>
      </w:pPr>
      <w:r>
        <w:rPr>
          <w:rFonts w:hint="eastAsia"/>
        </w:rPr>
        <w:t>注：1控制项、评分项的评价标准可依据本标准规定的各阶段评价条文填写对应编号。</w:t>
      </w:r>
    </w:p>
    <w:p>
      <w:pPr>
        <w:pStyle w:val="10"/>
        <w:ind w:firstLine="420"/>
        <w:jc w:val="both"/>
      </w:pPr>
      <w:r>
        <w:rPr>
          <w:rFonts w:hint="eastAsia"/>
        </w:rPr>
        <w:t>2有不参评条款的，在该条款“参评与否”处填写“X”</w:t>
      </w:r>
    </w:p>
    <w:p>
      <w:r>
        <w:br w:type="page"/>
      </w:r>
    </w:p>
    <w:p>
      <w:pPr>
        <w:pStyle w:val="2"/>
        <w:rPr>
          <w:rFonts w:hint="eastAsia"/>
          <w:lang w:val="en-US" w:eastAsia="zh-CN"/>
        </w:rPr>
      </w:pPr>
      <w:bookmarkStart w:id="47" w:name="_Toc27271"/>
      <w:bookmarkStart w:id="48" w:name="_Toc12627"/>
      <w:bookmarkStart w:id="49" w:name="_Toc1291"/>
      <w:bookmarkStart w:id="50" w:name="_Toc6313"/>
      <w:bookmarkStart w:id="51" w:name="_Toc164442249"/>
      <w:bookmarkStart w:id="52" w:name="_Toc17647"/>
      <w:r>
        <w:rPr>
          <w:rFonts w:hint="eastAsia"/>
          <w:lang w:val="en-US" w:eastAsia="zh-CN"/>
        </w:rPr>
        <w:t>附录B  山西省</w:t>
      </w:r>
      <w:r>
        <w:rPr>
          <w:rFonts w:hint="default"/>
          <w:lang w:val="en-US" w:eastAsia="zh-CN"/>
        </w:rPr>
        <w:t>各市年径流总量控制率对应的设计降雨量</w:t>
      </w:r>
      <w:r>
        <w:rPr>
          <w:rFonts w:hint="eastAsia"/>
          <w:lang w:val="en-US" w:eastAsia="zh-CN"/>
        </w:rPr>
        <w:t xml:space="preserve"> </w:t>
      </w:r>
      <w:r>
        <w:rPr>
          <w:rFonts w:hint="default"/>
          <w:lang w:val="en-US" w:eastAsia="zh-CN"/>
        </w:rPr>
        <w:t>一览表</w:t>
      </w:r>
    </w:p>
    <w:p>
      <w:pPr>
        <w:pStyle w:val="2"/>
        <w:rPr>
          <w:rFonts w:hint="eastAsia" w:asciiTheme="minorEastAsia" w:hAnsiTheme="minorEastAsia" w:eastAsiaTheme="minorEastAsia" w:cstheme="minorEastAsia"/>
          <w:b/>
          <w:bCs w:val="0"/>
          <w:sz w:val="21"/>
          <w:szCs w:val="21"/>
          <w:lang w:val="en-US" w:eastAsia="zh-CN"/>
        </w:rPr>
      </w:pPr>
      <w:r>
        <w:rPr>
          <w:rFonts w:hint="eastAsia"/>
          <w:lang w:val="en-US" w:eastAsia="zh-CN"/>
        </w:rPr>
        <w:t xml:space="preserve"> </w:t>
      </w:r>
      <w:r>
        <w:rPr>
          <w:rFonts w:hint="eastAsia"/>
          <w:b/>
          <w:bCs w:val="0"/>
          <w:lang w:val="en-US" w:eastAsia="zh-CN"/>
        </w:rPr>
        <w:t xml:space="preserve"> </w:t>
      </w:r>
      <w:r>
        <w:rPr>
          <w:rFonts w:hint="eastAsia" w:asciiTheme="minorEastAsia" w:hAnsiTheme="minorEastAsia" w:eastAsiaTheme="minorEastAsia" w:cstheme="minorEastAsia"/>
          <w:b/>
          <w:bCs w:val="0"/>
          <w:sz w:val="21"/>
          <w:szCs w:val="21"/>
          <w:lang w:val="en-US" w:eastAsia="zh-CN"/>
        </w:rPr>
        <w:t>表B 山西省各市年径流总量控制率对应的设计降雨量一览表</w:t>
      </w:r>
      <w:bookmarkEnd w:id="47"/>
      <w:bookmarkEnd w:id="48"/>
      <w:bookmarkEnd w:id="49"/>
    </w:p>
    <w:tbl>
      <w:tblPr>
        <w:tblStyle w:val="6"/>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2"/>
        <w:gridCol w:w="942"/>
        <w:gridCol w:w="943"/>
        <w:gridCol w:w="946"/>
        <w:gridCol w:w="946"/>
        <w:gridCol w:w="946"/>
        <w:gridCol w:w="946"/>
        <w:gridCol w:w="946"/>
        <w:gridCol w:w="9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4" w:hRule="atLeast"/>
          <w:jc w:val="center"/>
        </w:trPr>
        <w:tc>
          <w:tcPr>
            <w:tcW w:w="553" w:type="pct"/>
            <w:vMerge w:val="restart"/>
            <w:tcBorders>
              <w:top w:val="single" w:color="000000" w:sz="4" w:space="0"/>
              <w:left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城市</w:t>
            </w:r>
          </w:p>
        </w:tc>
        <w:tc>
          <w:tcPr>
            <w:tcW w:w="4446" w:type="pct"/>
            <w:gridSpan w:val="8"/>
            <w:tcBorders>
              <w:top w:val="single" w:color="000000" w:sz="4" w:space="0"/>
              <w:left w:val="single" w:color="000000" w:sz="4" w:space="0"/>
              <w:bottom w:val="single" w:color="000000" w:sz="4" w:space="0"/>
              <w:right w:val="single" w:color="auto"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年径流总量控制率对应的设计降雨量(mm)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vMerge w:val="continue"/>
            <w:tcBorders>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40%</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50%</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60%</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70%</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75%</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80%</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85%</w:t>
            </w:r>
          </w:p>
        </w:tc>
        <w:tc>
          <w:tcPr>
            <w:tcW w:w="563" w:type="pct"/>
            <w:tcBorders>
              <w:top w:val="single" w:color="000000" w:sz="4" w:space="0"/>
              <w:left w:val="single" w:color="000000" w:sz="4" w:space="0"/>
              <w:bottom w:val="single" w:color="000000" w:sz="4" w:space="0"/>
              <w:right w:val="single" w:color="auto"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太原</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5.43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7.61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10.48</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14.41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16.99</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20.3</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24.82</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31.51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大同</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4.13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5.64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7.58</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10.22</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11.94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14.03</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16.74</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阳泉</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5.85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8.22</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11.21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15.41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18.23</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21.98</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26.97</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34.69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长治</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5.49</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7.65</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10.43</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14.2</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16.73</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19.98</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24.32</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30.65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晋城</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5.99</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8.46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11.7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16.14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19.13</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23.01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28.32</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37.56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朔州</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4.75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6.57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8.91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12.01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14.06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16.61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19.81</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晋中</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5.29</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7.39</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10.07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13.71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16.04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18.94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22.78</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28.42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运城</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5.55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7.71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10.37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13.88</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16.07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18.69</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22.13</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26.82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忻州</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5.33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7.5</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10.34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14.34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17.07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20.52</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24.98</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31.47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临汾</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5.57</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7.85</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10.84</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14.76</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17.27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20.41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24.75</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31.56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4" w:hRule="atLeast"/>
          <w:jc w:val="center"/>
        </w:trPr>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吕梁</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5.21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7.29</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10.07</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13.79</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16.28</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19.51</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23.89</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6"/>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30.17</w:t>
            </w:r>
          </w:p>
        </w:tc>
      </w:tr>
    </w:tbl>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注：数据通过各地级市典型站1994-2023年逐日降雨数据分析计算得出。</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pStyle w:val="2"/>
      </w:pPr>
      <w:bookmarkStart w:id="53" w:name="_Toc21279"/>
      <w:bookmarkStart w:id="54" w:name="_Toc13745"/>
      <w:bookmarkStart w:id="55" w:name="_Toc3935"/>
      <w:r>
        <w:t>本标准用词说明</w:t>
      </w:r>
      <w:bookmarkEnd w:id="50"/>
      <w:bookmarkEnd w:id="51"/>
      <w:bookmarkEnd w:id="52"/>
      <w:bookmarkEnd w:id="53"/>
      <w:bookmarkEnd w:id="54"/>
      <w:bookmarkEnd w:id="55"/>
    </w:p>
    <w:p>
      <w:r>
        <w:t>1为便于在执行本标准条文时区别对待，对要求严格程度不同的用词说明如下：</w:t>
      </w:r>
    </w:p>
    <w:p>
      <w:r>
        <w:t>1）表示很严格</w:t>
      </w:r>
      <w:r>
        <w:rPr>
          <w:rFonts w:hint="eastAsia"/>
        </w:rPr>
        <w:t>，</w:t>
      </w:r>
      <w:r>
        <w:t>非这样做不可的用词：</w:t>
      </w:r>
    </w:p>
    <w:p>
      <w:r>
        <w:t>正面词采用</w:t>
      </w:r>
      <w:r>
        <w:rPr>
          <w:rFonts w:hint="eastAsia"/>
        </w:rPr>
        <w:t>“</w:t>
      </w:r>
      <w:r>
        <w:t>必须</w:t>
      </w:r>
      <w:r>
        <w:rPr>
          <w:rFonts w:hint="eastAsia"/>
        </w:rPr>
        <w:t>”</w:t>
      </w:r>
      <w:r>
        <w:t>，反面词采用</w:t>
      </w:r>
      <w:r>
        <w:rPr>
          <w:rFonts w:hint="eastAsia"/>
        </w:rPr>
        <w:t>“</w:t>
      </w:r>
      <w:r>
        <w:t>严禁</w:t>
      </w:r>
      <w:r>
        <w:rPr>
          <w:rFonts w:hint="eastAsia"/>
        </w:rPr>
        <w:t>”</w:t>
      </w:r>
      <w:r>
        <w:t>；</w:t>
      </w:r>
    </w:p>
    <w:p>
      <w:r>
        <w:t>2）表示严格，在正常情况均应这样做的词：</w:t>
      </w:r>
    </w:p>
    <w:p>
      <w:r>
        <w:t>正面词采用“应”，反面词采用</w:t>
      </w:r>
      <w:r>
        <w:rPr>
          <w:rFonts w:hint="eastAsia"/>
        </w:rPr>
        <w:t>“</w:t>
      </w:r>
      <w:r>
        <w:t>不应</w:t>
      </w:r>
      <w:r>
        <w:rPr>
          <w:rFonts w:hint="eastAsia"/>
        </w:rPr>
        <w:t>”</w:t>
      </w:r>
      <w:r>
        <w:t>或</w:t>
      </w:r>
      <w:r>
        <w:rPr>
          <w:rFonts w:hint="eastAsia"/>
        </w:rPr>
        <w:t>“</w:t>
      </w:r>
      <w:r>
        <w:t>不得</w:t>
      </w:r>
      <w:r>
        <w:rPr>
          <w:rFonts w:hint="eastAsia"/>
        </w:rPr>
        <w:t>”</w:t>
      </w:r>
      <w:r>
        <w:t>；</w:t>
      </w:r>
    </w:p>
    <w:p>
      <w:r>
        <w:t>3）表示允许稍有选择，在条件许可时首先应这样做的词：正面词采用</w:t>
      </w:r>
      <w:r>
        <w:rPr>
          <w:rFonts w:hint="eastAsia"/>
        </w:rPr>
        <w:t>“</w:t>
      </w:r>
      <w:r>
        <w:t>宜</w:t>
      </w:r>
      <w:r>
        <w:rPr>
          <w:rFonts w:hint="eastAsia"/>
        </w:rPr>
        <w:t>”</w:t>
      </w:r>
      <w:r>
        <w:t>，反面词采用</w:t>
      </w:r>
      <w:r>
        <w:rPr>
          <w:rFonts w:hint="eastAsia"/>
        </w:rPr>
        <w:t>“</w:t>
      </w:r>
      <w:r>
        <w:t>不宜</w:t>
      </w:r>
      <w:r>
        <w:rPr>
          <w:rFonts w:hint="eastAsia"/>
        </w:rPr>
        <w:t>”；</w:t>
      </w:r>
    </w:p>
    <w:p>
      <w:r>
        <w:t>4）表示允许有选择</w:t>
      </w:r>
      <w:r>
        <w:rPr>
          <w:rFonts w:hint="eastAsia"/>
        </w:rPr>
        <w:t>，</w:t>
      </w:r>
      <w:r>
        <w:t>在一定条件下可以这样做的词采用</w:t>
      </w:r>
      <w:r>
        <w:rPr>
          <w:rFonts w:hint="eastAsia"/>
        </w:rPr>
        <w:t>“</w:t>
      </w:r>
      <w:r>
        <w:t>可</w:t>
      </w:r>
      <w:r>
        <w:rPr>
          <w:rFonts w:hint="eastAsia"/>
        </w:rPr>
        <w:t>”</w:t>
      </w:r>
      <w:r>
        <w:t>。</w:t>
      </w:r>
    </w:p>
    <w:p>
      <w:r>
        <w:t>2条文中指明应按其他有关标准、规范执行的写法为</w:t>
      </w:r>
      <w:r>
        <w:rPr>
          <w:rFonts w:hint="eastAsia"/>
        </w:rPr>
        <w:t>：</w:t>
      </w:r>
      <w:r>
        <w:t>应符合……的规定或</w:t>
      </w:r>
      <w:r>
        <w:rPr>
          <w:rFonts w:hint="eastAsia"/>
        </w:rPr>
        <w:t>“</w:t>
      </w:r>
      <w:r>
        <w:t>应按……执行</w:t>
      </w:r>
      <w:r>
        <w:rPr>
          <w:rFonts w:hint="eastAsia"/>
        </w:rPr>
        <w:t>”</w:t>
      </w:r>
      <w:r>
        <w:t>。</w:t>
      </w:r>
    </w:p>
    <w:p>
      <w:r>
        <w:br w:type="page"/>
      </w:r>
    </w:p>
    <w:p>
      <w:pPr>
        <w:pStyle w:val="2"/>
      </w:pPr>
      <w:bookmarkStart w:id="56" w:name="_Toc14414"/>
      <w:bookmarkStart w:id="57" w:name="_Toc9994"/>
      <w:bookmarkStart w:id="58" w:name="_Toc8155"/>
      <w:bookmarkStart w:id="59" w:name="_Toc25257"/>
      <w:bookmarkStart w:id="60" w:name="_Toc164442250"/>
      <w:bookmarkStart w:id="61" w:name="_Toc11635"/>
      <w:r>
        <w:t>引用标准名录</w:t>
      </w:r>
      <w:bookmarkEnd w:id="56"/>
      <w:bookmarkEnd w:id="57"/>
      <w:bookmarkEnd w:id="58"/>
      <w:bookmarkEnd w:id="59"/>
      <w:bookmarkEnd w:id="60"/>
      <w:bookmarkEnd w:id="61"/>
    </w:p>
    <w:p>
      <w:r>
        <w:t>1《地表水环境质量标准》GB 3838</w:t>
      </w:r>
    </w:p>
    <w:p>
      <w:r>
        <w:t>2《给水排水构筑物工程施工及验收规范》GB 50141</w:t>
      </w:r>
    </w:p>
    <w:p>
      <w:r>
        <w:t>3《给水排水管道工程施工及验收规范》GB 50268</w:t>
      </w:r>
    </w:p>
    <w:p>
      <w:r>
        <w:t>4《建筑电气工程施工质量验收规范》GB 50303</w:t>
      </w:r>
    </w:p>
    <w:p>
      <w:r>
        <w:t>5《海绵城市建设评价标准》GB/T 5134</w:t>
      </w:r>
      <w:r>
        <w:rPr>
          <w:rFonts w:hint="eastAsia"/>
        </w:rPr>
        <w:t>5</w:t>
      </w:r>
    </w:p>
    <w:p>
      <w:pPr>
        <w:sectPr>
          <w:footerReference r:id="rId6" w:type="default"/>
          <w:pgSz w:w="11906" w:h="16838"/>
          <w:pgMar w:top="1440" w:right="1800" w:bottom="1440" w:left="1800" w:header="851" w:footer="992" w:gutter="0"/>
          <w:pgNumType w:start="1"/>
          <w:cols w:space="425" w:num="1"/>
          <w:docGrid w:type="lines" w:linePitch="312" w:charSpace="0"/>
        </w:sectPr>
      </w:pPr>
      <w:r>
        <w:br w:type="page"/>
      </w:r>
    </w:p>
    <w:p>
      <w:pPr>
        <w:ind w:firstLine="0" w:firstLineChars="0"/>
      </w:pPr>
    </w:p>
    <w:p/>
    <w:p/>
    <w:p>
      <w:pPr>
        <w:ind w:firstLine="0" w:firstLineChars="0"/>
        <w:jc w:val="center"/>
        <w:rPr>
          <w:sz w:val="36"/>
          <w:szCs w:val="36"/>
          <w:lang w:val="zh-TW" w:eastAsia="zh-TW"/>
        </w:rPr>
      </w:pPr>
      <w:r>
        <w:rPr>
          <w:sz w:val="36"/>
          <w:szCs w:val="36"/>
          <w:lang w:val="zh-TW" w:eastAsia="zh-TW"/>
        </w:rPr>
        <w:t>山西省工程建设标准</w:t>
      </w:r>
    </w:p>
    <w:p>
      <w:pPr>
        <w:rPr>
          <w:lang w:val="zh-TW" w:eastAsia="zh-TW"/>
        </w:rPr>
      </w:pPr>
    </w:p>
    <w:p>
      <w:pPr>
        <w:rPr>
          <w:lang w:val="zh-TW" w:eastAsia="zh-TW"/>
        </w:rPr>
      </w:pPr>
    </w:p>
    <w:p>
      <w:pPr>
        <w:rPr>
          <w:lang w:val="zh-TW" w:eastAsia="zh-TW"/>
        </w:rPr>
      </w:pPr>
    </w:p>
    <w:p>
      <w:pPr>
        <w:ind w:firstLine="0" w:firstLineChars="0"/>
        <w:jc w:val="center"/>
        <w:rPr>
          <w:rFonts w:ascii="宋体" w:hAnsi="宋体" w:cs="宋体"/>
          <w:b/>
          <w:bCs/>
          <w:sz w:val="44"/>
          <w:szCs w:val="44"/>
          <w:lang w:val="zh-TW" w:eastAsia="zh-TW"/>
        </w:rPr>
      </w:pPr>
      <w:r>
        <w:rPr>
          <w:rFonts w:hint="eastAsia" w:ascii="宋体" w:hAnsi="宋体" w:cs="宋体"/>
          <w:b/>
          <w:bCs/>
          <w:sz w:val="44"/>
          <w:szCs w:val="44"/>
          <w:lang w:val="zh-TW" w:eastAsia="zh-TW"/>
        </w:rPr>
        <w:t>海绵城市建设项目评价标准</w:t>
      </w:r>
    </w:p>
    <w:p>
      <w:pPr>
        <w:ind w:firstLine="0" w:firstLineChars="0"/>
        <w:jc w:val="center"/>
        <w:rPr>
          <w:rFonts w:hint="eastAsia" w:eastAsia="黑体" w:cs="Times New Roman"/>
          <w:sz w:val="28"/>
          <w:szCs w:val="28"/>
          <w:lang w:val="zh-TW" w:eastAsia="zh-CN"/>
        </w:rPr>
      </w:pPr>
      <w:r>
        <w:rPr>
          <w:rFonts w:eastAsia="黑体" w:cs="Times New Roman"/>
          <w:sz w:val="28"/>
          <w:szCs w:val="28"/>
          <w:lang w:val="zh-TW" w:eastAsia="zh-TW"/>
        </w:rPr>
        <w:t>DBJ 000- 202</w:t>
      </w:r>
      <w:r>
        <w:rPr>
          <w:rFonts w:hint="eastAsia" w:eastAsia="黑体" w:cs="Times New Roman"/>
          <w:sz w:val="28"/>
          <w:szCs w:val="28"/>
          <w:lang w:val="en-US" w:eastAsia="zh-CN"/>
        </w:rPr>
        <w:t>4</w:t>
      </w:r>
    </w:p>
    <w:p>
      <w:pPr>
        <w:ind w:firstLine="0" w:firstLineChars="0"/>
        <w:jc w:val="center"/>
        <w:rPr>
          <w:sz w:val="36"/>
          <w:szCs w:val="36"/>
        </w:rPr>
      </w:pPr>
      <w:bookmarkStart w:id="62" w:name="_Toc164442251"/>
    </w:p>
    <w:p>
      <w:pPr>
        <w:ind w:firstLine="0" w:firstLineChars="0"/>
        <w:jc w:val="center"/>
        <w:rPr>
          <w:sz w:val="36"/>
          <w:szCs w:val="36"/>
        </w:rPr>
      </w:pPr>
    </w:p>
    <w:p>
      <w:pPr>
        <w:ind w:firstLine="0" w:firstLineChars="0"/>
        <w:jc w:val="center"/>
        <w:rPr>
          <w:sz w:val="36"/>
          <w:szCs w:val="36"/>
        </w:rPr>
      </w:pPr>
      <w:r>
        <w:rPr>
          <w:sz w:val="36"/>
          <w:szCs w:val="36"/>
        </w:rPr>
        <w:t>条文说明</w:t>
      </w:r>
      <w:bookmarkEnd w:id="62"/>
    </w:p>
    <w:p>
      <w:pPr>
        <w:ind w:firstLine="0" w:firstLineChars="0"/>
      </w:pPr>
    </w:p>
    <w:p>
      <w:pPr>
        <w:ind w:firstLine="643"/>
        <w:rPr>
          <w:rStyle w:val="12"/>
        </w:rPr>
        <w:sectPr>
          <w:footerReference r:id="rId7" w:type="default"/>
          <w:pgSz w:w="11906" w:h="16838"/>
          <w:pgMar w:top="1440" w:right="1800" w:bottom="1440" w:left="1800" w:header="851" w:footer="992" w:gutter="0"/>
          <w:cols w:space="425" w:num="1"/>
          <w:docGrid w:type="lines" w:linePitch="312" w:charSpace="0"/>
        </w:sectPr>
      </w:pPr>
      <w:r>
        <w:rPr>
          <w:rStyle w:val="12"/>
          <w:rFonts w:hint="eastAsia"/>
        </w:rPr>
        <w:br w:type="page"/>
      </w:r>
    </w:p>
    <w:p>
      <w:pPr>
        <w:ind w:firstLine="0" w:firstLineChars="0"/>
        <w:jc w:val="center"/>
        <w:rPr>
          <w:rFonts w:ascii="黑体" w:hAnsi="黑体" w:eastAsia="黑体" w:cs="黑体"/>
          <w:sz w:val="32"/>
          <w:szCs w:val="32"/>
        </w:rPr>
      </w:pPr>
      <w:r>
        <w:rPr>
          <w:rFonts w:hint="eastAsia" w:ascii="黑体" w:hAnsi="黑体" w:eastAsia="黑体" w:cs="黑体"/>
          <w:sz w:val="32"/>
          <w:szCs w:val="32"/>
        </w:rPr>
        <w:t>目 录</w:t>
      </w:r>
    </w:p>
    <w:p>
      <w:pPr>
        <w:ind w:firstLine="562"/>
        <w:rPr>
          <w:rStyle w:val="12"/>
          <w:sz w:val="28"/>
          <w:szCs w:val="28"/>
        </w:rPr>
      </w:pPr>
    </w:p>
    <w:p>
      <w:pPr>
        <w:pStyle w:val="4"/>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_Toc29297 </w:instrText>
      </w:r>
      <w:r>
        <w:rPr>
          <w:bCs/>
          <w:szCs w:val="22"/>
        </w:rPr>
        <w:fldChar w:fldCharType="separate"/>
      </w:r>
      <w:r>
        <w:t>1</w:t>
      </w:r>
      <w:r>
        <w:rPr>
          <w:rFonts w:hint="eastAsia"/>
        </w:rPr>
        <w:t xml:space="preserve"> </w:t>
      </w:r>
      <w:r>
        <w:t>总</w:t>
      </w:r>
      <w:r>
        <w:rPr>
          <w:rFonts w:hint="eastAsia"/>
        </w:rPr>
        <w:t xml:space="preserve"> </w:t>
      </w:r>
      <w:r>
        <w:t>则</w:t>
      </w:r>
      <w:r>
        <w:tab/>
      </w:r>
      <w:r>
        <w:fldChar w:fldCharType="begin"/>
      </w:r>
      <w:r>
        <w:instrText xml:space="preserve"> PAGEREF _Toc29297 \h </w:instrText>
      </w:r>
      <w:r>
        <w:fldChar w:fldCharType="separate"/>
      </w:r>
      <w:r>
        <w:t>1</w:t>
      </w:r>
      <w:r>
        <w:fldChar w:fldCharType="end"/>
      </w:r>
      <w:r>
        <w:rPr>
          <w:bCs/>
          <w:szCs w:val="22"/>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_Toc20482 </w:instrText>
      </w:r>
      <w:r>
        <w:rPr>
          <w:bCs/>
          <w:szCs w:val="22"/>
        </w:rPr>
        <w:fldChar w:fldCharType="separate"/>
      </w:r>
      <w:r>
        <w:t>3</w:t>
      </w:r>
      <w:r>
        <w:rPr>
          <w:rFonts w:hint="eastAsia"/>
        </w:rPr>
        <w:t xml:space="preserve"> </w:t>
      </w:r>
      <w:r>
        <w:t>基本规定</w:t>
      </w:r>
      <w:r>
        <w:tab/>
      </w:r>
      <w:r>
        <w:fldChar w:fldCharType="begin"/>
      </w:r>
      <w:r>
        <w:instrText xml:space="preserve"> PAGEREF _Toc20482 \h </w:instrText>
      </w:r>
      <w:r>
        <w:fldChar w:fldCharType="separate"/>
      </w:r>
      <w:r>
        <w:t>3</w:t>
      </w:r>
      <w:r>
        <w:fldChar w:fldCharType="end"/>
      </w:r>
      <w:r>
        <w:rPr>
          <w:bCs/>
          <w:szCs w:val="22"/>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_Toc31006 </w:instrText>
      </w:r>
      <w:r>
        <w:rPr>
          <w:bCs/>
          <w:szCs w:val="22"/>
        </w:rPr>
        <w:fldChar w:fldCharType="separate"/>
      </w:r>
      <w:r>
        <w:rPr>
          <w:rFonts w:hint="eastAsia"/>
          <w:lang w:val="en-US" w:eastAsia="zh-CN"/>
        </w:rPr>
        <w:t>4</w:t>
      </w:r>
      <w:r>
        <w:rPr>
          <w:rFonts w:hint="eastAsia"/>
        </w:rPr>
        <w:t xml:space="preserve"> </w:t>
      </w:r>
      <w:r>
        <w:t>评价方法</w:t>
      </w:r>
      <w:r>
        <w:tab/>
      </w:r>
      <w:r>
        <w:fldChar w:fldCharType="begin"/>
      </w:r>
      <w:r>
        <w:instrText xml:space="preserve"> PAGEREF _Toc31006 \h </w:instrText>
      </w:r>
      <w:r>
        <w:fldChar w:fldCharType="separate"/>
      </w:r>
      <w:r>
        <w:t>5</w:t>
      </w:r>
      <w:r>
        <w:fldChar w:fldCharType="end"/>
      </w:r>
      <w:r>
        <w:rPr>
          <w:bCs/>
          <w:szCs w:val="22"/>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_Toc8718 </w:instrText>
      </w:r>
      <w:r>
        <w:rPr>
          <w:bCs/>
          <w:szCs w:val="22"/>
        </w:rPr>
        <w:fldChar w:fldCharType="separate"/>
      </w:r>
      <w:r>
        <w:rPr>
          <w:rFonts w:hint="eastAsia"/>
          <w:lang w:val="en-US" w:eastAsia="zh-CN"/>
        </w:rPr>
        <w:t>5</w:t>
      </w:r>
      <w:r>
        <w:t>专项设计评价</w:t>
      </w:r>
      <w:r>
        <w:tab/>
      </w:r>
      <w:r>
        <w:fldChar w:fldCharType="begin"/>
      </w:r>
      <w:r>
        <w:instrText xml:space="preserve"> PAGEREF _Toc8718 \h </w:instrText>
      </w:r>
      <w:r>
        <w:fldChar w:fldCharType="separate"/>
      </w:r>
      <w:r>
        <w:t>7</w:t>
      </w:r>
      <w:r>
        <w:fldChar w:fldCharType="end"/>
      </w:r>
      <w:r>
        <w:rPr>
          <w:bCs/>
          <w:szCs w:val="22"/>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_Toc15714 </w:instrText>
      </w:r>
      <w:r>
        <w:rPr>
          <w:bCs/>
          <w:szCs w:val="22"/>
        </w:rPr>
        <w:fldChar w:fldCharType="separate"/>
      </w:r>
      <w:r>
        <w:rPr>
          <w:rFonts w:hint="eastAsia"/>
          <w:lang w:val="en-US" w:eastAsia="zh-CN"/>
        </w:rPr>
        <w:t>5</w:t>
      </w:r>
      <w:r>
        <w:t>.1控制项</w:t>
      </w:r>
      <w:r>
        <w:tab/>
      </w:r>
      <w:r>
        <w:fldChar w:fldCharType="begin"/>
      </w:r>
      <w:r>
        <w:instrText xml:space="preserve"> PAGEREF _Toc15714 \h </w:instrText>
      </w:r>
      <w:r>
        <w:fldChar w:fldCharType="separate"/>
      </w:r>
      <w:r>
        <w:t>7</w:t>
      </w:r>
      <w:r>
        <w:fldChar w:fldCharType="end"/>
      </w:r>
      <w:r>
        <w:rPr>
          <w:bCs/>
          <w:szCs w:val="22"/>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_Toc24620 </w:instrText>
      </w:r>
      <w:r>
        <w:rPr>
          <w:bCs/>
          <w:szCs w:val="22"/>
        </w:rPr>
        <w:fldChar w:fldCharType="separate"/>
      </w:r>
      <w:r>
        <w:rPr>
          <w:rFonts w:hint="eastAsia"/>
          <w:lang w:val="en-US" w:eastAsia="zh-CN"/>
        </w:rPr>
        <w:t>5</w:t>
      </w:r>
      <w:r>
        <w:t>.</w:t>
      </w:r>
      <w:r>
        <w:rPr>
          <w:rFonts w:hint="eastAsia"/>
        </w:rPr>
        <w:t>2</w:t>
      </w:r>
      <w:r>
        <w:t>评分项</w:t>
      </w:r>
      <w:r>
        <w:tab/>
      </w:r>
      <w:r>
        <w:fldChar w:fldCharType="begin"/>
      </w:r>
      <w:r>
        <w:instrText xml:space="preserve"> PAGEREF _Toc24620 \h </w:instrText>
      </w:r>
      <w:r>
        <w:fldChar w:fldCharType="separate"/>
      </w:r>
      <w:r>
        <w:t>9</w:t>
      </w:r>
      <w:r>
        <w:fldChar w:fldCharType="end"/>
      </w:r>
      <w:r>
        <w:rPr>
          <w:bCs/>
          <w:szCs w:val="22"/>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_Toc13298 </w:instrText>
      </w:r>
      <w:r>
        <w:rPr>
          <w:bCs/>
          <w:szCs w:val="22"/>
        </w:rPr>
        <w:fldChar w:fldCharType="separate"/>
      </w:r>
      <w:r>
        <w:rPr>
          <w:rFonts w:hint="eastAsia"/>
          <w:lang w:val="en-US" w:eastAsia="zh-CN"/>
        </w:rPr>
        <w:t>6</w:t>
      </w:r>
      <w:r>
        <w:t>施工建设评价</w:t>
      </w:r>
      <w:r>
        <w:tab/>
      </w:r>
      <w:r>
        <w:fldChar w:fldCharType="begin"/>
      </w:r>
      <w:r>
        <w:instrText xml:space="preserve"> PAGEREF _Toc13298 \h </w:instrText>
      </w:r>
      <w:r>
        <w:fldChar w:fldCharType="separate"/>
      </w:r>
      <w:r>
        <w:t>10</w:t>
      </w:r>
      <w:r>
        <w:fldChar w:fldCharType="end"/>
      </w:r>
      <w:r>
        <w:rPr>
          <w:bCs/>
          <w:szCs w:val="22"/>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_Toc29922 </w:instrText>
      </w:r>
      <w:r>
        <w:rPr>
          <w:bCs/>
          <w:szCs w:val="22"/>
        </w:rPr>
        <w:fldChar w:fldCharType="separate"/>
      </w:r>
      <w:r>
        <w:rPr>
          <w:rFonts w:hint="eastAsia"/>
          <w:lang w:val="en-US" w:eastAsia="zh-CN"/>
        </w:rPr>
        <w:t>6</w:t>
      </w:r>
      <w:r>
        <w:t>.1控制项</w:t>
      </w:r>
      <w:r>
        <w:tab/>
      </w:r>
      <w:r>
        <w:fldChar w:fldCharType="begin"/>
      </w:r>
      <w:r>
        <w:instrText xml:space="preserve"> PAGEREF _Toc29922 \h </w:instrText>
      </w:r>
      <w:r>
        <w:fldChar w:fldCharType="separate"/>
      </w:r>
      <w:r>
        <w:t>10</w:t>
      </w:r>
      <w:r>
        <w:fldChar w:fldCharType="end"/>
      </w:r>
      <w:r>
        <w:rPr>
          <w:bCs/>
          <w:szCs w:val="22"/>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_Toc27450 </w:instrText>
      </w:r>
      <w:r>
        <w:rPr>
          <w:bCs/>
          <w:szCs w:val="22"/>
        </w:rPr>
        <w:fldChar w:fldCharType="separate"/>
      </w:r>
      <w:r>
        <w:rPr>
          <w:rFonts w:hint="eastAsia"/>
          <w:lang w:val="en-US" w:eastAsia="zh-CN"/>
        </w:rPr>
        <w:t>6</w:t>
      </w:r>
      <w:r>
        <w:t>.2评分项</w:t>
      </w:r>
      <w:r>
        <w:tab/>
      </w:r>
      <w:r>
        <w:fldChar w:fldCharType="begin"/>
      </w:r>
      <w:r>
        <w:instrText xml:space="preserve"> PAGEREF _Toc27450 \h </w:instrText>
      </w:r>
      <w:r>
        <w:fldChar w:fldCharType="separate"/>
      </w:r>
      <w:r>
        <w:t>12</w:t>
      </w:r>
      <w:r>
        <w:fldChar w:fldCharType="end"/>
      </w:r>
      <w:r>
        <w:rPr>
          <w:bCs/>
          <w:szCs w:val="22"/>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_Toc21225 </w:instrText>
      </w:r>
      <w:r>
        <w:rPr>
          <w:bCs/>
          <w:szCs w:val="22"/>
        </w:rPr>
        <w:fldChar w:fldCharType="separate"/>
      </w:r>
      <w:r>
        <w:rPr>
          <w:rFonts w:hint="eastAsia"/>
          <w:lang w:val="en-US" w:eastAsia="zh-CN"/>
        </w:rPr>
        <w:t>7</w:t>
      </w:r>
      <w:r>
        <w:rPr>
          <w:rFonts w:hint="eastAsia"/>
        </w:rPr>
        <w:t xml:space="preserve"> </w:t>
      </w:r>
      <w:r>
        <w:rPr>
          <w:rFonts w:hint="eastAsia"/>
          <w:lang w:eastAsia="zh-CN"/>
        </w:rPr>
        <w:t>建设效果</w:t>
      </w:r>
      <w:r>
        <w:rPr>
          <w:rFonts w:hint="eastAsia"/>
        </w:rPr>
        <w:t>评价</w:t>
      </w:r>
      <w:r>
        <w:tab/>
      </w:r>
      <w:r>
        <w:fldChar w:fldCharType="begin"/>
      </w:r>
      <w:r>
        <w:instrText xml:space="preserve"> PAGEREF _Toc21225 \h </w:instrText>
      </w:r>
      <w:r>
        <w:fldChar w:fldCharType="separate"/>
      </w:r>
      <w:r>
        <w:t>13</w:t>
      </w:r>
      <w:r>
        <w:fldChar w:fldCharType="end"/>
      </w:r>
      <w:r>
        <w:rPr>
          <w:bCs/>
          <w:szCs w:val="22"/>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_Toc6436 </w:instrText>
      </w:r>
      <w:r>
        <w:rPr>
          <w:bCs/>
          <w:szCs w:val="22"/>
        </w:rPr>
        <w:fldChar w:fldCharType="separate"/>
      </w:r>
      <w:r>
        <w:rPr>
          <w:rFonts w:hint="eastAsia"/>
          <w:lang w:val="en-US" w:eastAsia="zh-CN"/>
        </w:rPr>
        <w:t>7</w:t>
      </w:r>
      <w:r>
        <w:t>.1控制项</w:t>
      </w:r>
      <w:r>
        <w:tab/>
      </w:r>
      <w:r>
        <w:fldChar w:fldCharType="begin"/>
      </w:r>
      <w:r>
        <w:instrText xml:space="preserve"> PAGEREF _Toc6436 \h </w:instrText>
      </w:r>
      <w:r>
        <w:fldChar w:fldCharType="separate"/>
      </w:r>
      <w:r>
        <w:t>13</w:t>
      </w:r>
      <w:r>
        <w:fldChar w:fldCharType="end"/>
      </w:r>
      <w:r>
        <w:rPr>
          <w:bCs/>
          <w:szCs w:val="22"/>
        </w:rPr>
        <w:fldChar w:fldCharType="end"/>
      </w:r>
    </w:p>
    <w:p>
      <w:pPr>
        <w:pStyle w:val="5"/>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rPr>
          <w:bCs/>
          <w:szCs w:val="22"/>
        </w:rPr>
        <w:fldChar w:fldCharType="begin"/>
      </w:r>
      <w:r>
        <w:rPr>
          <w:bCs/>
          <w:szCs w:val="22"/>
        </w:rPr>
        <w:instrText xml:space="preserve"> HYPERLINK \l _Toc30288 </w:instrText>
      </w:r>
      <w:r>
        <w:rPr>
          <w:bCs/>
          <w:szCs w:val="22"/>
        </w:rPr>
        <w:fldChar w:fldCharType="separate"/>
      </w:r>
      <w:r>
        <w:rPr>
          <w:rFonts w:hint="eastAsia"/>
          <w:lang w:val="en-US" w:eastAsia="zh-CN"/>
        </w:rPr>
        <w:t>7</w:t>
      </w:r>
      <w:r>
        <w:rPr>
          <w:rFonts w:hint="eastAsia"/>
        </w:rPr>
        <w:t>.2评分项</w:t>
      </w:r>
      <w:r>
        <w:tab/>
      </w:r>
      <w:r>
        <w:fldChar w:fldCharType="begin"/>
      </w:r>
      <w:r>
        <w:instrText xml:space="preserve"> PAGEREF _Toc30288 \h </w:instrText>
      </w:r>
      <w:r>
        <w:fldChar w:fldCharType="separate"/>
      </w:r>
      <w:r>
        <w:t>14</w:t>
      </w:r>
      <w:r>
        <w:fldChar w:fldCharType="end"/>
      </w:r>
      <w:r>
        <w:rPr>
          <w:bCs/>
          <w:szCs w:val="22"/>
        </w:rPr>
        <w:fldChar w:fldCharType="end"/>
      </w:r>
    </w:p>
    <w:p>
      <w:pPr>
        <w:ind w:firstLine="643"/>
        <w:rPr>
          <w:rStyle w:val="12"/>
        </w:rPr>
      </w:pPr>
    </w:p>
    <w:p>
      <w:pPr>
        <w:ind w:firstLine="643"/>
        <w:rPr>
          <w:rStyle w:val="12"/>
        </w:rPr>
      </w:pPr>
    </w:p>
    <w:p>
      <w:pPr>
        <w:ind w:firstLine="643"/>
        <w:rPr>
          <w:rStyle w:val="12"/>
        </w:rPr>
        <w:sectPr>
          <w:footerReference r:id="rId8" w:type="default"/>
          <w:pgSz w:w="11906" w:h="16838"/>
          <w:pgMar w:top="1440" w:right="1800" w:bottom="1440" w:left="1800" w:header="851" w:footer="992" w:gutter="0"/>
          <w:cols w:space="425" w:num="1"/>
          <w:docGrid w:type="lines" w:linePitch="312" w:charSpace="0"/>
        </w:sectPr>
      </w:pPr>
    </w:p>
    <w:p>
      <w:pPr>
        <w:pStyle w:val="2"/>
      </w:pPr>
      <w:bookmarkStart w:id="63" w:name="_Toc20729"/>
      <w:bookmarkStart w:id="64" w:name="_Toc18960"/>
      <w:bookmarkStart w:id="65" w:name="_Toc17637"/>
      <w:bookmarkStart w:id="66" w:name="_Toc164442253"/>
      <w:bookmarkStart w:id="67" w:name="_Toc164442576"/>
      <w:bookmarkStart w:id="68" w:name="_Toc16220"/>
      <w:bookmarkStart w:id="69" w:name="_Toc32335"/>
      <w:bookmarkStart w:id="70" w:name="_Toc29297"/>
      <w:r>
        <w:t>1</w:t>
      </w:r>
      <w:r>
        <w:rPr>
          <w:rFonts w:hint="eastAsia"/>
        </w:rPr>
        <w:t xml:space="preserve"> </w:t>
      </w:r>
      <w:r>
        <w:t>总</w:t>
      </w:r>
      <w:r>
        <w:rPr>
          <w:rFonts w:hint="eastAsia"/>
        </w:rPr>
        <w:t xml:space="preserve"> </w:t>
      </w:r>
      <w:r>
        <w:t>则</w:t>
      </w:r>
      <w:bookmarkEnd w:id="63"/>
      <w:bookmarkEnd w:id="64"/>
      <w:bookmarkEnd w:id="65"/>
      <w:bookmarkEnd w:id="66"/>
      <w:bookmarkEnd w:id="67"/>
      <w:bookmarkEnd w:id="68"/>
      <w:bookmarkEnd w:id="69"/>
      <w:bookmarkEnd w:id="70"/>
    </w:p>
    <w:p>
      <w:r>
        <w:t>1.0.1本条是制定本标准的目的和意义。</w:t>
      </w:r>
    </w:p>
    <w:p>
      <w:r>
        <w:t>自2013年中央城镇化会议以来，海绵城市作为城市发展的新理念和新方式，已经成为缓解城市内涝、水资源短缺、雨水径流污染的重要战略举措。随着海绵城市建设的进一步深化、落实和推广</w:t>
      </w:r>
      <w:r>
        <w:rPr>
          <w:rFonts w:hint="eastAsia"/>
        </w:rPr>
        <w:t>，</w:t>
      </w:r>
      <w:r>
        <w:t>制定并实施统一、规范的建设项目评价标准</w:t>
      </w:r>
      <w:r>
        <w:rPr>
          <w:rFonts w:hint="eastAsia"/>
        </w:rPr>
        <w:t>，</w:t>
      </w:r>
      <w:r>
        <w:t>对积极引导海绵城市建设健康发展具有十分重要的作用。2022年4月18日，住房和城乡建设部</w:t>
      </w:r>
      <w:r>
        <w:rPr>
          <w:rFonts w:hint="eastAsia"/>
        </w:rPr>
        <w:t>办公厅印发</w:t>
      </w:r>
      <w:r>
        <w:t>《关于进一步明确海绵城市建设工作有关要求的通知》（建办城〔2022〕17号），进一步明确了海绵城市的内涵和实施路径，并对规划编制、项目设计、建设运维和长效机制等方面提出了清晰的要求，尤其是明确提出了32个</w:t>
      </w:r>
      <w:r>
        <w:rPr>
          <w:rFonts w:hint="eastAsia"/>
        </w:rPr>
        <w:t>“</w:t>
      </w:r>
      <w:r>
        <w:t>正面清单</w:t>
      </w:r>
      <w:r>
        <w:rPr>
          <w:rFonts w:hint="eastAsia"/>
        </w:rPr>
        <w:t>”</w:t>
      </w:r>
      <w:r>
        <w:t>和23个</w:t>
      </w:r>
      <w:r>
        <w:rPr>
          <w:rFonts w:hint="eastAsia"/>
        </w:rPr>
        <w:t>“</w:t>
      </w:r>
      <w:r>
        <w:t>负面清单</w:t>
      </w:r>
      <w:r>
        <w:rPr>
          <w:rFonts w:hint="eastAsia"/>
        </w:rPr>
        <w:t>”</w:t>
      </w:r>
      <w:r>
        <w:t>，</w:t>
      </w:r>
      <w:r>
        <w:rPr>
          <w:rFonts w:hint="eastAsia"/>
        </w:rPr>
        <w:t>进一步强调了海绵城市建设工程项目效果的重要性。</w:t>
      </w:r>
      <w:r>
        <w:t>目前</w:t>
      </w:r>
      <w:r>
        <w:rPr>
          <w:rFonts w:hint="eastAsia"/>
        </w:rPr>
        <w:t>，</w:t>
      </w:r>
      <w:r>
        <w:t>现行国家标准《海绵城市建设评价标准》GB/T 51345已从海绵城市建设效果的角度构建了海绵城市建设评价体系。</w:t>
      </w:r>
      <w:r>
        <w:rPr>
          <w:rFonts w:hint="eastAsia"/>
        </w:rPr>
        <w:t>2023年11月28日，山西省人民政府办公厅印发《关于系统化全域推进海绵城市建设的实施意见》（晋政办发</w:t>
      </w:r>
      <w:r>
        <w:t>〔202</w:t>
      </w:r>
      <w:r>
        <w:rPr>
          <w:rFonts w:hint="eastAsia"/>
        </w:rPr>
        <w:t>3</w:t>
      </w:r>
      <w:r>
        <w:t>〕</w:t>
      </w:r>
      <w:r>
        <w:rPr>
          <w:rFonts w:hint="eastAsia"/>
        </w:rPr>
        <w:t>96</w:t>
      </w:r>
      <w:r>
        <w:t>号</w:t>
      </w:r>
      <w:r>
        <w:rPr>
          <w:rFonts w:hint="eastAsia"/>
        </w:rPr>
        <w:t>），要求各级海绵城市主管部门要组织制定海绵城市建设项目评价标准，指导海绵城市建设项目全过程评价，以评促建，确保海绵城市项目“建一个、成一个”；建立海绵城市建设项目设计、施工及验收的分阶段评价制度，在项目设计文件审查阶段，应重点审查海绵效果评价结果，保证海绵城市项目设计质量；在施工阶段，监管部门应对施工过程规范性和工程质量合格性进行评价，确保海绵城市建设质量；在项目建设工程竣工验收备案前，应当对海绵城市建设效果进行专项评价，评价结果不满足相关规划控制要求的，应当责令相关建设单位进行整改。</w:t>
      </w:r>
    </w:p>
    <w:p>
      <w:r>
        <w:t>由于建设项目是各地市落实海绵城市建设理念的基本落脚点，在综合考虑</w:t>
      </w:r>
      <w:r>
        <w:rPr>
          <w:rFonts w:hint="eastAsia"/>
        </w:rPr>
        <w:t>山西省</w:t>
      </w:r>
      <w:r>
        <w:t>实际情况及城市发展特点的基础上，本标准以增强全省海绵城市建设评价的科学性、可操作性为根本要求</w:t>
      </w:r>
      <w:r>
        <w:rPr>
          <w:rFonts w:hint="eastAsia"/>
        </w:rPr>
        <w:t>，</w:t>
      </w:r>
      <w:r>
        <w:t>以提升海绵城市建设项目品质</w:t>
      </w:r>
      <w:r>
        <w:rPr>
          <w:rFonts w:hint="eastAsia"/>
        </w:rPr>
        <w:t>，</w:t>
      </w:r>
      <w:r>
        <w:t>引导海绵城市建设向好发展为主要目的，建立了一套适宜</w:t>
      </w:r>
      <w:r>
        <w:rPr>
          <w:rFonts w:hint="eastAsia"/>
        </w:rPr>
        <w:t>山西</w:t>
      </w:r>
      <w:r>
        <w:t>地方特色的海绵城市建设项目评价指标体系，以评促建推进海绵城市系统化全域建设。</w:t>
      </w:r>
    </w:p>
    <w:p>
      <w:r>
        <w:t>1</w:t>
      </w:r>
      <w:r>
        <w:rPr>
          <w:rFonts w:hint="eastAsia"/>
        </w:rPr>
        <w:t>.</w:t>
      </w:r>
      <w:r>
        <w:t>0.2本条明确了本标准的适用范围。</w:t>
      </w:r>
    </w:p>
    <w:p>
      <w:r>
        <w:t>本标准适用的海绵城市建设项目包含</w:t>
      </w:r>
      <w:r>
        <w:rPr>
          <w:rFonts w:hint="eastAsia"/>
        </w:rPr>
        <w:t>山西省行政区</w:t>
      </w:r>
      <w:r>
        <w:t>内贯彻海绵城市建设理念并按照相应控制指标要求进行新建、改建、扩建的项目。</w:t>
      </w:r>
    </w:p>
    <w:p>
      <w:r>
        <w:t>1</w:t>
      </w:r>
      <w:r>
        <w:rPr>
          <w:rFonts w:hint="eastAsia"/>
        </w:rPr>
        <w:t>.</w:t>
      </w:r>
      <w:r>
        <w:t>0.3本条明确了海绵城市建设项目评价应遵循的基本原则。</w:t>
      </w:r>
    </w:p>
    <w:p>
      <w:r>
        <w:t>海绵城市建设项目评价应</w:t>
      </w:r>
      <w:r>
        <w:rPr>
          <w:rFonts w:hint="eastAsia"/>
          <w:lang w:val="en-US" w:eastAsia="zh-CN"/>
        </w:rPr>
        <w:t>基于山西地域特色，重点考虑</w:t>
      </w:r>
      <w:r>
        <w:rPr>
          <w:rFonts w:hint="eastAsia"/>
        </w:rPr>
        <w:t>湿陷性黄土建设条件与常规地质条件</w:t>
      </w:r>
      <w:r>
        <w:rPr>
          <w:rFonts w:hint="eastAsia"/>
          <w:lang w:eastAsia="zh-CN"/>
        </w:rPr>
        <w:t>的</w:t>
      </w:r>
      <w:r>
        <w:rPr>
          <w:rFonts w:hint="eastAsia"/>
        </w:rPr>
        <w:t>差距，</w:t>
      </w:r>
      <w:r>
        <w:t>实事求是，切实体现评价的公平性。</w:t>
      </w:r>
    </w:p>
    <w:p>
      <w:r>
        <w:t>1</w:t>
      </w:r>
      <w:r>
        <w:rPr>
          <w:rFonts w:hint="eastAsia"/>
        </w:rPr>
        <w:t>.</w:t>
      </w:r>
      <w:r>
        <w:t>0.4本条明确了本标准与国家及地方现有标准的关系。</w:t>
      </w:r>
    </w:p>
    <w:p>
      <w:r>
        <w:t>海绵城市建设涉及多专业的协调配合</w:t>
      </w:r>
      <w:r>
        <w:rPr>
          <w:rFonts w:hint="eastAsia"/>
        </w:rPr>
        <w:t>，</w:t>
      </w:r>
      <w:r>
        <w:t>应符合各专业相应的国家、行业标准。海绵城市建设项目进行评价时</w:t>
      </w:r>
      <w:r>
        <w:rPr>
          <w:rFonts w:hint="eastAsia"/>
        </w:rPr>
        <w:t>，</w:t>
      </w:r>
      <w:r>
        <w:t>除应按本标准的规定执行外，还应符合国家及现行有关标准的规定</w:t>
      </w:r>
      <w:r>
        <w:rPr>
          <w:rFonts w:hint="eastAsia"/>
        </w:rPr>
        <w:t>。</w:t>
      </w:r>
      <w:r>
        <w:rPr>
          <w:rFonts w:hint="eastAsia"/>
        </w:rPr>
        <w:br w:type="page"/>
      </w:r>
    </w:p>
    <w:p>
      <w:pPr>
        <w:pStyle w:val="2"/>
      </w:pPr>
      <w:bookmarkStart w:id="71" w:name="_Toc31758"/>
      <w:bookmarkStart w:id="72" w:name="_Toc31528"/>
      <w:bookmarkStart w:id="73" w:name="_Toc31338"/>
      <w:bookmarkStart w:id="74" w:name="_Toc164442254"/>
      <w:bookmarkStart w:id="75" w:name="_Toc22349"/>
      <w:bookmarkStart w:id="76" w:name="_Toc20482"/>
      <w:bookmarkStart w:id="77" w:name="_Toc164442577"/>
      <w:bookmarkStart w:id="78" w:name="_Toc29753"/>
      <w:r>
        <w:t>3</w:t>
      </w:r>
      <w:r>
        <w:rPr>
          <w:rFonts w:hint="eastAsia"/>
        </w:rPr>
        <w:t xml:space="preserve"> </w:t>
      </w:r>
      <w:r>
        <w:t>基本规定</w:t>
      </w:r>
      <w:bookmarkEnd w:id="71"/>
      <w:bookmarkEnd w:id="72"/>
      <w:bookmarkEnd w:id="73"/>
      <w:bookmarkEnd w:id="74"/>
      <w:bookmarkEnd w:id="75"/>
      <w:bookmarkEnd w:id="76"/>
      <w:bookmarkEnd w:id="77"/>
      <w:bookmarkEnd w:id="78"/>
    </w:p>
    <w:p>
      <w:r>
        <w:t>3.</w:t>
      </w:r>
      <w:r>
        <w:rPr>
          <w:rFonts w:hint="eastAsia"/>
          <w:lang w:val="en-US" w:eastAsia="zh-CN"/>
        </w:rPr>
        <w:t>0.</w:t>
      </w:r>
      <w:r>
        <w:t>1本条确定了本标准的评价对象。</w:t>
      </w:r>
    </w:p>
    <w:p>
      <w:r>
        <w:t>落实海绵城市建设理念的基础是建设项目，建设项目按照城市下垫面的类型主要可分为建筑与小区、道路</w:t>
      </w:r>
      <w:r>
        <w:rPr>
          <w:rFonts w:hint="eastAsia"/>
        </w:rPr>
        <w:t>与</w:t>
      </w:r>
      <w:r>
        <w:t>广场、</w:t>
      </w:r>
      <w:r>
        <w:rPr>
          <w:rFonts w:hint="eastAsia"/>
          <w:lang w:val="en-US" w:eastAsia="zh-CN"/>
        </w:rPr>
        <w:t>公园</w:t>
      </w:r>
      <w:r>
        <w:t>绿地</w:t>
      </w:r>
      <w:r>
        <w:rPr>
          <w:rFonts w:hint="eastAsia"/>
          <w:lang w:val="en-US" w:eastAsia="zh-CN"/>
        </w:rPr>
        <w:t>三</w:t>
      </w:r>
      <w:r>
        <w:t>类。本标准从具体实施角度出发，将上述类型的项目作为评价对象。</w:t>
      </w:r>
    </w:p>
    <w:p>
      <w:r>
        <w:t>3.</w:t>
      </w:r>
      <w:r>
        <w:rPr>
          <w:rFonts w:hint="eastAsia"/>
          <w:lang w:val="en-US" w:eastAsia="zh-CN"/>
        </w:rPr>
        <w:t>0.</w:t>
      </w:r>
      <w:r>
        <w:rPr>
          <w:rFonts w:hint="eastAsia"/>
        </w:rPr>
        <w:t>3</w:t>
      </w:r>
      <w:r>
        <w:t>本条规定了</w:t>
      </w:r>
      <w:r>
        <w:rPr>
          <w:rFonts w:hint="eastAsia"/>
          <w:lang w:val="en-US" w:eastAsia="zh-CN"/>
        </w:rPr>
        <w:t>项目全过程评价</w:t>
      </w:r>
      <w:r>
        <w:t>。</w:t>
      </w:r>
    </w:p>
    <w:p>
      <w:r>
        <w:t>海绵城市建设与主体工程同步设计、同步施工、同步投用</w:t>
      </w:r>
      <w:r>
        <w:rPr>
          <w:rFonts w:hint="eastAsia"/>
        </w:rPr>
        <w:t>，</w:t>
      </w:r>
      <w:r>
        <w:t>所以海绵城市建设项目的评价工作应与主体工程的设计、建设、运行等阶段相协调</w:t>
      </w:r>
      <w:r>
        <w:rPr>
          <w:rFonts w:hint="eastAsia"/>
        </w:rPr>
        <w:t>，</w:t>
      </w:r>
      <w:r>
        <w:t>实行专项设计、施工建设、</w:t>
      </w:r>
      <w:r>
        <w:rPr>
          <w:rFonts w:hint="eastAsia"/>
          <w:lang w:eastAsia="zh-CN"/>
        </w:rPr>
        <w:t>建设效果</w:t>
      </w:r>
      <w:r>
        <w:t>的</w:t>
      </w:r>
      <w:r>
        <w:rPr>
          <w:rFonts w:hint="eastAsia"/>
        </w:rPr>
        <w:t>“</w:t>
      </w:r>
      <w:r>
        <w:t>全过程</w:t>
      </w:r>
      <w:r>
        <w:rPr>
          <w:rFonts w:hint="eastAsia"/>
        </w:rPr>
        <w:t>”</w:t>
      </w:r>
      <w:r>
        <w:t>评价</w:t>
      </w:r>
      <w:r>
        <w:rPr>
          <w:rFonts w:hint="eastAsia"/>
        </w:rPr>
        <w:t>，目前，通过试点、示范城市建设，海绵城市建设已经从落实理念向建设成效转变，为减少“</w:t>
      </w:r>
      <w:r>
        <w:t>丑海绵</w:t>
      </w:r>
      <w:r>
        <w:rPr>
          <w:rFonts w:hint="eastAsia"/>
          <w:lang w:eastAsia="zh-CN"/>
        </w:rPr>
        <w:t>”“</w:t>
      </w:r>
      <w:r>
        <w:t>贵海绵</w:t>
      </w:r>
      <w:r>
        <w:rPr>
          <w:rFonts w:hint="eastAsia"/>
        </w:rPr>
        <w:t>”等项目落地，通过后评价促进优质海绵项目落地。</w:t>
      </w:r>
    </w:p>
    <w:p>
      <w:r>
        <w:t>3.</w:t>
      </w:r>
      <w:r>
        <w:rPr>
          <w:rFonts w:hint="eastAsia"/>
          <w:lang w:val="en-US" w:eastAsia="zh-CN"/>
        </w:rPr>
        <w:t>0.4</w:t>
      </w:r>
      <w:r>
        <w:t>本条规定了</w:t>
      </w:r>
      <w:r>
        <w:rPr>
          <w:rFonts w:hint="eastAsia"/>
          <w:lang w:val="en-US" w:eastAsia="zh-CN"/>
        </w:rPr>
        <w:t>专项设计评价时序</w:t>
      </w:r>
      <w:r>
        <w:t>。</w:t>
      </w:r>
    </w:p>
    <w:p>
      <w:pPr>
        <w:rPr>
          <w:rFonts w:hint="eastAsia"/>
        </w:rPr>
      </w:pPr>
      <w:r>
        <w:t>从设计阶段来看，建筑与小区、绿地</w:t>
      </w:r>
      <w:r>
        <w:rPr>
          <w:rFonts w:hint="eastAsia"/>
        </w:rPr>
        <w:t>、</w:t>
      </w:r>
      <w:r>
        <w:t>广场类项目一般有方案设计和施工图设计阶段，城市道路项目则为初步设计和施工图设计阶段，其中施工图作为必要的设计阶段，是建设项目最详细、最完整的落地性设计，因此本标准提出将海绵城市建设项目的专项设计评价放在施工图审查阶段进行，并要求一并提供前阶段设计的相关成果和资料。</w:t>
      </w:r>
      <w:r>
        <w:rPr>
          <w:rFonts w:hint="eastAsia"/>
          <w:lang w:val="en-US" w:eastAsia="zh-CN"/>
        </w:rPr>
        <w:t>海绵城市</w:t>
      </w:r>
      <w:r>
        <w:rPr>
          <w:rFonts w:hint="eastAsia"/>
        </w:rPr>
        <w:t>专项设计评价</w:t>
      </w:r>
      <w:r>
        <w:rPr>
          <w:rFonts w:hint="eastAsia"/>
          <w:lang w:val="en-US" w:eastAsia="zh-CN"/>
        </w:rPr>
        <w:t>可单独进行</w:t>
      </w:r>
      <w:r>
        <w:rPr>
          <w:rFonts w:hint="eastAsia"/>
        </w:rPr>
        <w:t>。通过专项设计评价与管理，提高设计文件质量，为提高项目质量奠定基础。</w:t>
      </w:r>
    </w:p>
    <w:p>
      <w:r>
        <w:t>3.</w:t>
      </w:r>
      <w:r>
        <w:rPr>
          <w:rFonts w:hint="eastAsia"/>
          <w:lang w:val="en-US" w:eastAsia="zh-CN"/>
        </w:rPr>
        <w:t>0.5</w:t>
      </w:r>
      <w:r>
        <w:t>本条规定了</w:t>
      </w:r>
      <w:r>
        <w:rPr>
          <w:rFonts w:hint="eastAsia"/>
          <w:lang w:val="en-US" w:eastAsia="zh-CN"/>
        </w:rPr>
        <w:t>施工建设评价和建设效果评价时序</w:t>
      </w:r>
      <w:r>
        <w:t>。</w:t>
      </w:r>
    </w:p>
    <w:p>
      <w:r>
        <w:t>针对本标准提出的施工建设评价</w:t>
      </w:r>
      <w:r>
        <w:rPr>
          <w:rFonts w:hint="eastAsia"/>
        </w:rPr>
        <w:t>和</w:t>
      </w:r>
      <w:r>
        <w:rPr>
          <w:rFonts w:hint="eastAsia"/>
          <w:lang w:eastAsia="zh-CN"/>
        </w:rPr>
        <w:t>建设效果</w:t>
      </w:r>
      <w:r>
        <w:t>评价一并进行的要求</w:t>
      </w:r>
      <w:r>
        <w:rPr>
          <w:rFonts w:hint="eastAsia"/>
        </w:rPr>
        <w:t>，</w:t>
      </w:r>
      <w:r>
        <w:rPr>
          <w:rFonts w:hint="eastAsia"/>
          <w:lang w:val="en-US" w:eastAsia="zh-CN"/>
        </w:rPr>
        <w:t>作为项目竣工验收的重要依据，</w:t>
      </w:r>
      <w:r>
        <w:t>主要是考虑建管同时评价将有利于更好地对比海绵城市的建成情况与运行效果的相符性，避免</w:t>
      </w:r>
      <w:r>
        <w:rPr>
          <w:rFonts w:hint="eastAsia"/>
        </w:rPr>
        <w:t>“</w:t>
      </w:r>
      <w:r>
        <w:t>重建失管、只建不管</w:t>
      </w:r>
      <w:r>
        <w:rPr>
          <w:rFonts w:hint="eastAsia"/>
        </w:rPr>
        <w:t>”</w:t>
      </w:r>
      <w:r>
        <w:t>的现象</w:t>
      </w:r>
      <w:r>
        <w:rPr>
          <w:rFonts w:hint="eastAsia"/>
        </w:rPr>
        <w:t>，</w:t>
      </w:r>
      <w:r>
        <w:t>优化评价程序、节省工作时间</w:t>
      </w:r>
      <w:r>
        <w:rPr>
          <w:rFonts w:hint="eastAsia"/>
        </w:rPr>
        <w:t>，促进建设单位在项目建成后跟踪维护，保障</w:t>
      </w:r>
      <w:r>
        <w:rPr>
          <w:rFonts w:hint="eastAsia"/>
          <w:lang w:eastAsia="zh-CN"/>
        </w:rPr>
        <w:t>海绵城市设施</w:t>
      </w:r>
      <w:r>
        <w:rPr>
          <w:rFonts w:hint="eastAsia"/>
        </w:rPr>
        <w:t>的建设效果</w:t>
      </w:r>
      <w:r>
        <w:t>。</w:t>
      </w:r>
    </w:p>
    <w:p>
      <w:r>
        <w:t>3</w:t>
      </w:r>
      <w:r>
        <w:rPr>
          <w:rFonts w:hint="eastAsia"/>
          <w:lang w:val="en-US" w:eastAsia="zh-CN"/>
        </w:rPr>
        <w:t>.0.7</w:t>
      </w:r>
      <w:r>
        <w:t>本条明确了评价过程中申请评价方的申报责任和</w:t>
      </w:r>
      <w:r>
        <w:rPr>
          <w:rFonts w:hint="eastAsia"/>
        </w:rPr>
        <w:t>评价单位</w:t>
      </w:r>
      <w:r>
        <w:t>的工作要求。</w:t>
      </w:r>
    </w:p>
    <w:p>
      <w:r>
        <w:t>申请评价方应对海绵城市建设的各个阶段进行控制</w:t>
      </w:r>
      <w:r>
        <w:rPr>
          <w:rFonts w:hint="eastAsia"/>
        </w:rPr>
        <w:t>，</w:t>
      </w:r>
      <w:r>
        <w:t>并按本标准的要求提交相应规划设计图纸、评估分析报告及其他相关资料，所有资料应真实、可靠并具有作为评价依据的完整性。</w:t>
      </w:r>
      <w:r>
        <w:rPr>
          <w:rFonts w:hint="eastAsia"/>
        </w:rPr>
        <w:t>评价单位</w:t>
      </w:r>
      <w:r>
        <w:t>依据有关管理制度文件，按照本标准要求</w:t>
      </w:r>
      <w:r>
        <w:rPr>
          <w:rFonts w:hint="eastAsia"/>
        </w:rPr>
        <w:t>审查</w:t>
      </w:r>
      <w:r>
        <w:t>由申请评价方提交的评价资料，其中申请施工建设和</w:t>
      </w:r>
      <w:r>
        <w:rPr>
          <w:rFonts w:hint="eastAsia"/>
          <w:lang w:eastAsia="zh-CN"/>
        </w:rPr>
        <w:t>建设效果</w:t>
      </w:r>
      <w:r>
        <w:t>评价的海绵城市建设项目</w:t>
      </w:r>
      <w:r>
        <w:rPr>
          <w:rFonts w:hint="eastAsia"/>
        </w:rPr>
        <w:t>，评价单位</w:t>
      </w:r>
      <w:r>
        <w:t>还应组织相关专家进行现场考察</w:t>
      </w:r>
      <w:r>
        <w:rPr>
          <w:rFonts w:hint="eastAsia"/>
        </w:rPr>
        <w:t>，</w:t>
      </w:r>
      <w:r>
        <w:t>进一步审核规划设计要求的落实情况以及海绵城市建设实际效能和运行情况，最后在评价报告中确定项目等级。</w:t>
      </w:r>
    </w:p>
    <w:p/>
    <w:p>
      <w:r>
        <w:br w:type="page"/>
      </w:r>
    </w:p>
    <w:p>
      <w:pPr>
        <w:pStyle w:val="2"/>
      </w:pPr>
      <w:bookmarkStart w:id="79" w:name="_Toc10786"/>
      <w:bookmarkStart w:id="80" w:name="_Toc164442579"/>
      <w:bookmarkStart w:id="81" w:name="_Toc5451"/>
      <w:bookmarkStart w:id="82" w:name="_Toc5307"/>
      <w:bookmarkStart w:id="83" w:name="_Toc31006"/>
      <w:bookmarkStart w:id="84" w:name="_Toc20518"/>
      <w:bookmarkStart w:id="85" w:name="_Toc164442256"/>
      <w:bookmarkStart w:id="86" w:name="_Toc22454"/>
      <w:r>
        <w:rPr>
          <w:rFonts w:hint="eastAsia"/>
          <w:lang w:val="en-US" w:eastAsia="zh-CN"/>
        </w:rPr>
        <w:t>4</w:t>
      </w:r>
      <w:r>
        <w:rPr>
          <w:rFonts w:hint="eastAsia"/>
        </w:rPr>
        <w:t xml:space="preserve"> </w:t>
      </w:r>
      <w:r>
        <w:t>评价</w:t>
      </w:r>
      <w:r>
        <w:rPr>
          <w:rFonts w:hint="eastAsia"/>
          <w:lang w:val="en-US" w:eastAsia="zh-CN"/>
        </w:rPr>
        <w:t>办</w:t>
      </w:r>
      <w:r>
        <w:t>法</w:t>
      </w:r>
      <w:bookmarkEnd w:id="79"/>
      <w:bookmarkEnd w:id="80"/>
      <w:bookmarkEnd w:id="81"/>
      <w:bookmarkEnd w:id="82"/>
      <w:bookmarkEnd w:id="83"/>
      <w:bookmarkEnd w:id="84"/>
      <w:bookmarkEnd w:id="85"/>
      <w:bookmarkEnd w:id="86"/>
    </w:p>
    <w:p>
      <w:r>
        <w:rPr>
          <w:rFonts w:hint="eastAsia"/>
          <w:lang w:val="en-US" w:eastAsia="zh-CN"/>
        </w:rPr>
        <w:t>4.0.1</w:t>
      </w:r>
      <w:r>
        <w:t>本条明确了专项设计评价的方法和内容。</w:t>
      </w:r>
    </w:p>
    <w:p>
      <w:r>
        <w:t>专项设计评价申报时，除提交必要的设计文件外</w:t>
      </w:r>
      <w:r>
        <w:rPr>
          <w:rFonts w:hint="eastAsia"/>
        </w:rPr>
        <w:t>，</w:t>
      </w:r>
      <w:r>
        <w:t>还应一并提供岩土工程勘察等测试报告及有关数据的相应分析、测试或证明材料。自重湿陷性黄土地区、膨胀土地区、地质灾害防治区、有特殊污染源和其他有特殊保护要求的区域开展海绵城市建设</w:t>
      </w:r>
      <w:r>
        <w:rPr>
          <w:rFonts w:hint="eastAsia"/>
        </w:rPr>
        <w:t>，</w:t>
      </w:r>
      <w:r>
        <w:t>应提供专题论证报告，由主管部门组织专家进行论证通过</w:t>
      </w:r>
      <w:r>
        <w:rPr>
          <w:rFonts w:hint="eastAsia"/>
        </w:rPr>
        <w:t>，并提交论证意见和整改报告</w:t>
      </w:r>
      <w:r>
        <w:t>。</w:t>
      </w:r>
    </w:p>
    <w:p>
      <w:r>
        <w:rPr>
          <w:rFonts w:hint="eastAsia"/>
          <w:lang w:val="en-US" w:eastAsia="zh-CN"/>
        </w:rPr>
        <w:t>4.0.2</w:t>
      </w:r>
      <w:r>
        <w:t>本条明确了施工建设评价的方</w:t>
      </w:r>
      <w:r>
        <w:rPr>
          <w:rFonts w:hint="eastAsia"/>
          <w:lang w:val="en-US" w:eastAsia="zh-CN"/>
        </w:rPr>
        <w:t>法</w:t>
      </w:r>
      <w:r>
        <w:t>和内容。</w:t>
      </w:r>
    </w:p>
    <w:p>
      <w:r>
        <w:t>只有通过对海绵城市建设项目的施工过程、施工质量予以严格把控，确保项目建设与设计图纸保持一致</w:t>
      </w:r>
      <w:r>
        <w:rPr>
          <w:rFonts w:hint="eastAsia"/>
        </w:rPr>
        <w:t>，</w:t>
      </w:r>
      <w:r>
        <w:t>设施结构符合建设要求，才能</w:t>
      </w:r>
      <w:r>
        <w:rPr>
          <w:rFonts w:hint="eastAsia"/>
        </w:rPr>
        <w:t>有效发挥各</w:t>
      </w:r>
      <w:r>
        <w:rPr>
          <w:rFonts w:hint="eastAsia"/>
          <w:lang w:eastAsia="zh-CN"/>
        </w:rPr>
        <w:t>海绵城市设施</w:t>
      </w:r>
      <w:r>
        <w:rPr>
          <w:rFonts w:hint="eastAsia"/>
        </w:rPr>
        <w:t>的“渗、滞、蓄、净、用”功能，</w:t>
      </w:r>
      <w:r>
        <w:t>有效控制雨水径流的汇集、渗蓄、净化和利用。同时海绵城市建设一直践行低碳绿色的发展理念，项目施工应符合绿色环保要求。</w:t>
      </w:r>
    </w:p>
    <w:p>
      <w:r>
        <w:rPr>
          <w:rFonts w:hint="eastAsia"/>
          <w:lang w:val="en-US" w:eastAsia="zh-CN"/>
        </w:rPr>
        <w:t>4.0.3</w:t>
      </w:r>
      <w:r>
        <w:t>本条明确了</w:t>
      </w:r>
      <w:r>
        <w:rPr>
          <w:rFonts w:hint="eastAsia"/>
          <w:lang w:eastAsia="zh-CN"/>
        </w:rPr>
        <w:t>建设效果</w:t>
      </w:r>
      <w:r>
        <w:t>评价的方</w:t>
      </w:r>
      <w:r>
        <w:rPr>
          <w:rFonts w:hint="eastAsia"/>
          <w:lang w:val="en-US" w:eastAsia="zh-CN"/>
        </w:rPr>
        <w:t>法</w:t>
      </w:r>
      <w:r>
        <w:t>和内容。</w:t>
      </w:r>
    </w:p>
    <w:p>
      <w:r>
        <w:rPr>
          <w:rFonts w:hint="eastAsia"/>
          <w:lang w:eastAsia="zh-CN"/>
        </w:rPr>
        <w:t>建设效果</w:t>
      </w:r>
      <w:r>
        <w:rPr>
          <w:rFonts w:hint="eastAsia"/>
        </w:rPr>
        <w:t>评价是项目评价的最后阶段</w:t>
      </w:r>
      <w:r>
        <w:t>，</w:t>
      </w:r>
      <w:r>
        <w:rPr>
          <w:rFonts w:hint="eastAsia"/>
        </w:rPr>
        <w:t>除对相关设施运维措施、系统</w:t>
      </w:r>
      <w:r>
        <w:rPr>
          <w:rFonts w:hint="eastAsia"/>
          <w:lang w:eastAsia="zh-CN"/>
        </w:rPr>
        <w:t>建设效果</w:t>
      </w:r>
      <w:r>
        <w:rPr>
          <w:rFonts w:hint="eastAsia"/>
        </w:rPr>
        <w:t>进行评价外</w:t>
      </w:r>
      <w:r>
        <w:t>，</w:t>
      </w:r>
      <w:r>
        <w:rPr>
          <w:rFonts w:hint="eastAsia"/>
        </w:rPr>
        <w:t>本标准还将项目建设全过程中方法、技术、措施等方面的创新、应用及</w:t>
      </w:r>
      <w:r>
        <w:t>公众满意度评价</w:t>
      </w:r>
      <w:r>
        <w:rPr>
          <w:rFonts w:hint="eastAsia"/>
        </w:rPr>
        <w:t>均纳入此阶段评价内容，以进一步促进海绵城市建设成果的经验总结和推广</w:t>
      </w:r>
      <w:r>
        <w:t>。</w:t>
      </w:r>
      <w:r>
        <w:rPr>
          <w:rFonts w:hint="eastAsia"/>
          <w:lang w:eastAsia="zh-CN"/>
        </w:rPr>
        <w:t>建设效果</w:t>
      </w:r>
      <w:r>
        <w:rPr>
          <w:rFonts w:hint="eastAsia"/>
        </w:rPr>
        <w:t>评价应采用现场核实的方式对</w:t>
      </w:r>
      <w:r>
        <w:rPr>
          <w:rFonts w:hint="eastAsia"/>
          <w:lang w:eastAsia="zh-CN"/>
        </w:rPr>
        <w:t>海绵城市设施</w:t>
      </w:r>
      <w:r>
        <w:rPr>
          <w:rFonts w:hint="eastAsia"/>
        </w:rPr>
        <w:t>的建设效果、景观环境效果、径流控制及整体运行维护效果进行评价。</w:t>
      </w:r>
    </w:p>
    <w:p>
      <w:r>
        <w:rPr>
          <w:rFonts w:hint="eastAsia"/>
          <w:lang w:val="en-US" w:eastAsia="zh-CN"/>
        </w:rPr>
        <w:t>4</w:t>
      </w:r>
      <w:r>
        <w:t>.</w:t>
      </w:r>
      <w:r>
        <w:rPr>
          <w:rFonts w:hint="eastAsia"/>
          <w:lang w:val="en-US" w:eastAsia="zh-CN"/>
        </w:rPr>
        <w:t>0.4</w:t>
      </w:r>
      <w:r>
        <w:t>本条确定了海绵城市建设项目评价指标体系的基本构成。</w:t>
      </w:r>
    </w:p>
    <w:p>
      <w:r>
        <w:t>项目评价的各阶段均设控制项和评分项。控制项为评价对象必须满足的要求，评分项为常用技术要求。</w:t>
      </w:r>
    </w:p>
    <w:p>
      <w:r>
        <w:rPr>
          <w:rFonts w:hint="eastAsia"/>
          <w:lang w:val="en-US" w:eastAsia="zh-CN"/>
        </w:rPr>
        <w:t>4</w:t>
      </w:r>
      <w:r>
        <w:t>.</w:t>
      </w:r>
      <w:r>
        <w:rPr>
          <w:rFonts w:hint="eastAsia"/>
          <w:lang w:val="en-US" w:eastAsia="zh-CN"/>
        </w:rPr>
        <w:t>0.5</w:t>
      </w:r>
      <w:r>
        <w:t>本条确定了控制项、评分项的评价结果。</w:t>
      </w:r>
    </w:p>
    <w:p>
      <w:r>
        <w:t>控制项是海绵城市建设项目评价的强制性要求，具有一票否决性</w:t>
      </w:r>
      <w:r>
        <w:rPr>
          <w:rFonts w:hint="eastAsia"/>
        </w:rPr>
        <w:t>，</w:t>
      </w:r>
      <w:r>
        <w:t>即任意控制项不满足，则项目该评价阶段认定为不符合海绵城市建设要求。</w:t>
      </w:r>
    </w:p>
    <w:p>
      <w:r>
        <w:t>评分项是在完全满足控制项要求的基础上，根据评分项条文的规定确定得分或不得分</w:t>
      </w:r>
      <w:r>
        <w:rPr>
          <w:rFonts w:hint="eastAsia"/>
        </w:rPr>
        <w:t>，</w:t>
      </w:r>
      <w:r>
        <w:t>得分时根据需要对具体评分款项确定得分值，或根据具体达标程度确定得分值</w:t>
      </w:r>
      <w:r>
        <w:rPr>
          <w:rFonts w:hint="eastAsia"/>
        </w:rPr>
        <w:t>，</w:t>
      </w:r>
      <w:r>
        <w:t>各款得分分值不得超过该款规定的分值总分。</w:t>
      </w:r>
    </w:p>
    <w:p>
      <w:r>
        <w:t>项目评价前应先确定参评条文</w:t>
      </w:r>
      <w:r>
        <w:rPr>
          <w:rFonts w:hint="eastAsia"/>
        </w:rPr>
        <w:t>，</w:t>
      </w:r>
      <w:r>
        <w:t>若条文中涉及了上位规划或批复中未</w:t>
      </w:r>
      <w:r>
        <w:rPr>
          <w:rFonts w:hint="eastAsia"/>
        </w:rPr>
        <w:t>作要求</w:t>
      </w:r>
      <w:r>
        <w:t>的建设目标、项目场地不适用的设施应用等内容的，该条文可不参与评价。</w:t>
      </w:r>
    </w:p>
    <w:p>
      <w:r>
        <w:rPr>
          <w:rFonts w:hint="eastAsia"/>
          <w:lang w:val="en-US" w:eastAsia="zh-CN"/>
        </w:rPr>
        <w:t>4</w:t>
      </w:r>
      <w:r>
        <w:t>.</w:t>
      </w:r>
      <w:r>
        <w:rPr>
          <w:rFonts w:hint="eastAsia"/>
          <w:lang w:val="en-US" w:eastAsia="zh-CN"/>
        </w:rPr>
        <w:t>0.6</w:t>
      </w:r>
      <w:r>
        <w:t>本条确定了项目评价总得分的计算方法和阶段评价指标权重。</w:t>
      </w:r>
    </w:p>
    <w:p>
      <w:r>
        <w:t>评价总得分由项目专项设计、施工建设、</w:t>
      </w:r>
      <w:r>
        <w:rPr>
          <w:rFonts w:hint="eastAsia"/>
        </w:rPr>
        <w:t>建设效果</w:t>
      </w:r>
      <w:r>
        <w:rPr>
          <w:rFonts w:hint="eastAsia"/>
          <w:lang w:val="en-US" w:eastAsia="zh-CN"/>
        </w:rPr>
        <w:t>三</w:t>
      </w:r>
      <w:r>
        <w:t>个阶段评分项得分加权</w:t>
      </w:r>
      <w:r>
        <w:rPr>
          <w:rFonts w:hint="eastAsia"/>
        </w:rPr>
        <w:t>计算</w:t>
      </w:r>
      <w:r>
        <w:t>后获得。表</w:t>
      </w:r>
      <w:r>
        <w:rPr>
          <w:rFonts w:hint="eastAsia"/>
          <w:lang w:val="en-US" w:eastAsia="zh-CN"/>
        </w:rPr>
        <w:t>4.6</w:t>
      </w:r>
      <w:r>
        <w:t>中给出了</w:t>
      </w:r>
      <w:r>
        <w:rPr>
          <w:rFonts w:hint="eastAsia"/>
          <w:lang w:val="en-US" w:eastAsia="zh-CN"/>
        </w:rPr>
        <w:t>三</w:t>
      </w:r>
      <w:r>
        <w:t>个阶段的评价指标权重。</w:t>
      </w:r>
      <w:r>
        <w:rPr>
          <w:rFonts w:hint="eastAsia"/>
        </w:rPr>
        <w:t>针对山西省海绵城市现状建设情况，专项设计是海绵城市项目建设质量的基础，后期建设效果直接反映海绵城市建设的质量，因此上述两项在总体评价中权重较高。</w:t>
      </w:r>
    </w:p>
    <w:p>
      <w:r>
        <w:rPr>
          <w:rFonts w:hint="eastAsia"/>
          <w:lang w:val="en-US" w:eastAsia="zh-CN"/>
        </w:rPr>
        <w:t>4</w:t>
      </w:r>
      <w:r>
        <w:t>.</w:t>
      </w:r>
      <w:r>
        <w:rPr>
          <w:rFonts w:hint="eastAsia"/>
          <w:lang w:val="en-US" w:eastAsia="zh-CN"/>
        </w:rPr>
        <w:t>0.7</w:t>
      </w:r>
      <w:r>
        <w:t>本条确定了阶段评价的评分项的计算公式。</w:t>
      </w:r>
    </w:p>
    <w:p>
      <w:r>
        <w:t>不同地区的评价对象因所处地域的环境、资源及功能要求等方面的客观差异，会存在部分评价条文不适用评价对象实际情况的现象，对不适用的评分项可不予评定。因此，各阶段评价时的适用评分项的款项数量会减少，相应实际可能达到的满分值也会低于100分。对此，本标准设置了场景折算系数进行</w:t>
      </w:r>
      <w:r>
        <w:rPr>
          <w:rFonts w:hint="eastAsia"/>
        </w:rPr>
        <w:t>“</w:t>
      </w:r>
      <w:r>
        <w:t>归一化</w:t>
      </w:r>
      <w:r>
        <w:rPr>
          <w:rFonts w:hint="eastAsia"/>
        </w:rPr>
        <w:t>”</w:t>
      </w:r>
      <w:r>
        <w:t>处理，以保障在全省不同地域环境下海绵城市建设项目评价的公平性</w:t>
      </w:r>
      <w:r>
        <w:rPr>
          <w:rFonts w:hint="eastAsia"/>
        </w:rPr>
        <w:t>，</w:t>
      </w:r>
      <w:r>
        <w:t>突出评分项的适用性特色。实施评价时</w:t>
      </w:r>
      <w:r>
        <w:rPr>
          <w:rFonts w:hint="eastAsia"/>
        </w:rPr>
        <w:t>，</w:t>
      </w:r>
      <w:r>
        <w:t>阶段评分项得分应为评价对象在该阶段参评的评分项实际得分值</w:t>
      </w:r>
      <w:r>
        <w:rPr>
          <w:rFonts w:hint="eastAsia"/>
          <w:lang w:val="en-US" w:eastAsia="zh-CN"/>
        </w:rPr>
        <w:t>除以参评总分值乘以100确定</w:t>
      </w:r>
      <w:r>
        <w:t>。</w:t>
      </w:r>
    </w:p>
    <w:p>
      <w:r>
        <w:rPr>
          <w:rFonts w:hint="eastAsia"/>
          <w:lang w:val="en-US" w:eastAsia="zh-CN"/>
        </w:rPr>
        <w:t>4</w:t>
      </w:r>
      <w:r>
        <w:t>.</w:t>
      </w:r>
      <w:r>
        <w:rPr>
          <w:rFonts w:hint="eastAsia"/>
          <w:lang w:val="en-US" w:eastAsia="zh-CN"/>
        </w:rPr>
        <w:t>0.8</w:t>
      </w:r>
      <w:r>
        <w:t>本条提出海绵城市建设项目评价等级。</w:t>
      </w:r>
    </w:p>
    <w:p>
      <w:r>
        <w:t>为系统化全域推进海绵城市建设，本标准制定了海绵城市建设项目星级等级评定体系，以便与绿色建筑、绿色生态城区评价的等级相协调</w:t>
      </w:r>
      <w:r>
        <w:rPr>
          <w:rFonts w:hint="eastAsia"/>
        </w:rPr>
        <w:t>，</w:t>
      </w:r>
      <w:r>
        <w:t>为城市的绿色高质量发展提供统一的评价标准构架。</w:t>
      </w:r>
    </w:p>
    <w:p>
      <w:r>
        <w:t>评分项总得分是星级评定的基本依据。基于实施海绵城市建设全过程评价的要求</w:t>
      </w:r>
      <w:r>
        <w:rPr>
          <w:rFonts w:hint="eastAsia"/>
        </w:rPr>
        <w:t>，</w:t>
      </w:r>
      <w:r>
        <w:t>在满足控制项条件的前提下，本标准通过设置阶段评价最低分来控制阶段评价成果，以确保全过程评价的合理性和完整性，再以评分项总得分确定项目评价等级。若某阶段评价得分小于最低分要求</w:t>
      </w:r>
      <w:r>
        <w:rPr>
          <w:rFonts w:hint="eastAsia"/>
        </w:rPr>
        <w:t>，</w:t>
      </w:r>
      <w:r>
        <w:t>则不必继续后续评价步骤。海绵城市建设项目评价的星级结果可作为地方行政主管部门制定和实施海绵城市建设扶持政策、鼓励和促进海绵城市发展的依据。</w:t>
      </w:r>
      <w:r>
        <w:br w:type="page"/>
      </w:r>
    </w:p>
    <w:p>
      <w:pPr>
        <w:pStyle w:val="2"/>
      </w:pPr>
      <w:bookmarkStart w:id="87" w:name="_Toc12601"/>
      <w:bookmarkStart w:id="88" w:name="_Toc8718"/>
      <w:bookmarkStart w:id="89" w:name="_Toc164442257"/>
      <w:bookmarkStart w:id="90" w:name="_Toc12176"/>
      <w:bookmarkStart w:id="91" w:name="_Toc26352"/>
      <w:bookmarkStart w:id="92" w:name="_Toc954"/>
      <w:bookmarkStart w:id="93" w:name="_Toc22898"/>
      <w:bookmarkStart w:id="94" w:name="_Toc164442580"/>
      <w:r>
        <w:rPr>
          <w:rFonts w:hint="eastAsia"/>
          <w:lang w:val="en-US" w:eastAsia="zh-CN"/>
        </w:rPr>
        <w:t>5</w:t>
      </w:r>
      <w:r>
        <w:t>专项设计评价</w:t>
      </w:r>
      <w:bookmarkEnd w:id="87"/>
      <w:bookmarkEnd w:id="88"/>
      <w:bookmarkEnd w:id="89"/>
      <w:bookmarkEnd w:id="90"/>
      <w:bookmarkEnd w:id="91"/>
      <w:bookmarkEnd w:id="92"/>
      <w:bookmarkEnd w:id="93"/>
      <w:bookmarkEnd w:id="94"/>
    </w:p>
    <w:p>
      <w:pPr>
        <w:pStyle w:val="3"/>
      </w:pPr>
      <w:bookmarkStart w:id="95" w:name="_Toc25350"/>
      <w:bookmarkStart w:id="96" w:name="_Toc25850"/>
      <w:bookmarkStart w:id="97" w:name="_Toc164442581"/>
      <w:bookmarkStart w:id="98" w:name="_Toc20233"/>
      <w:bookmarkStart w:id="99" w:name="_Toc8051"/>
      <w:bookmarkStart w:id="100" w:name="_Toc164442258"/>
      <w:bookmarkStart w:id="101" w:name="_Toc5550"/>
      <w:bookmarkStart w:id="102" w:name="_Toc15714"/>
      <w:r>
        <w:rPr>
          <w:rFonts w:hint="eastAsia"/>
          <w:lang w:val="en-US" w:eastAsia="zh-CN"/>
        </w:rPr>
        <w:t>5</w:t>
      </w:r>
      <w:r>
        <w:t>.1控制项</w:t>
      </w:r>
      <w:bookmarkEnd w:id="95"/>
      <w:bookmarkEnd w:id="96"/>
      <w:bookmarkEnd w:id="97"/>
      <w:bookmarkEnd w:id="98"/>
      <w:bookmarkEnd w:id="99"/>
      <w:bookmarkEnd w:id="100"/>
      <w:bookmarkEnd w:id="101"/>
      <w:bookmarkEnd w:id="102"/>
    </w:p>
    <w:p>
      <w:r>
        <w:rPr>
          <w:rFonts w:hint="eastAsia"/>
          <w:lang w:val="en-US" w:eastAsia="zh-CN"/>
        </w:rPr>
        <w:t>5</w:t>
      </w:r>
      <w:r>
        <w:t>.1.</w:t>
      </w:r>
      <w:r>
        <w:rPr>
          <w:rFonts w:hint="eastAsia"/>
          <w:lang w:val="en-US" w:eastAsia="zh-CN"/>
        </w:rPr>
        <w:t>2</w:t>
      </w:r>
      <w:r>
        <w:t>本条明确了</w:t>
      </w:r>
      <w:r>
        <w:rPr>
          <w:rFonts w:hint="eastAsia"/>
          <w:lang w:val="en-US" w:eastAsia="zh-CN"/>
        </w:rPr>
        <w:t>系统化全域推进海绵城市对具体项目的要求</w:t>
      </w:r>
      <w:r>
        <w:t>。</w:t>
      </w:r>
    </w:p>
    <w:p>
      <w:pPr>
        <w:rPr>
          <w:rFonts w:hint="default" w:eastAsia="宋体"/>
          <w:lang w:val="en-US" w:eastAsia="zh-CN"/>
        </w:rPr>
      </w:pPr>
      <w:r>
        <w:rPr>
          <w:rFonts w:hint="eastAsia"/>
          <w:lang w:val="en-US" w:eastAsia="zh-CN"/>
        </w:rPr>
        <w:t>海绵城市建设项目应目标导向和问题导向出发，系统分析问题和需求，具体项目要以提升流域水环境质量，提高排水防涝能力，缓解热岛效应等目标，针对性提出项目建设对区域流域、城市、片区的贡献度。</w:t>
      </w:r>
    </w:p>
    <w:p>
      <w:r>
        <w:rPr>
          <w:rFonts w:hint="eastAsia"/>
          <w:lang w:val="en-US" w:eastAsia="zh-CN"/>
        </w:rPr>
        <w:t>5</w:t>
      </w:r>
      <w:r>
        <w:rPr>
          <w:rFonts w:hint="eastAsia"/>
        </w:rPr>
        <w:t>.1.</w:t>
      </w:r>
      <w:r>
        <w:rPr>
          <w:rFonts w:hint="eastAsia"/>
          <w:lang w:val="en-US" w:eastAsia="zh-CN"/>
        </w:rPr>
        <w:t>3</w:t>
      </w:r>
      <w:r>
        <w:rPr>
          <w:rFonts w:hint="eastAsia"/>
        </w:rPr>
        <w:t>本条明确了专项设计安全性的评价要求。</w:t>
      </w:r>
    </w:p>
    <w:p>
      <w:r>
        <w:rPr>
          <w:rFonts w:hint="eastAsia"/>
        </w:rPr>
        <w:t>落实海绵城市建设理念，不能以牺牲用地基本功能、损害现有建设、污染环境、干扰居民正常生活为代价。根据《建筑与小区雨水控制及利用工程技术规范》GB 50400的4.1.6条、4.1.7条、4.1.10条规定：在可能造成坍塌、滑坡灾害的地区，自重湿陷性黄土、膨胀土、高含盐土等特殊土壤地质区以及雨水入渗会对居住环境以及自然环境造成危害的地区，不得采用雨水入渗系统；传染病医院、含有重金属污染和化学污染等地表污染严重地区不得采用雨水收集回用系统，有特殊污染源的地区开展海绵城市建设项目，应经专题论证。</w:t>
      </w:r>
    </w:p>
    <w:p>
      <w:r>
        <w:rPr>
          <w:rFonts w:hint="eastAsia"/>
          <w:lang w:val="en-US" w:eastAsia="zh-CN"/>
        </w:rPr>
        <w:t>5</w:t>
      </w:r>
      <w:r>
        <w:rPr>
          <w:rFonts w:hint="eastAsia"/>
        </w:rPr>
        <w:t>.1.</w:t>
      </w:r>
      <w:r>
        <w:rPr>
          <w:rFonts w:hint="eastAsia"/>
          <w:lang w:val="en-US" w:eastAsia="zh-CN"/>
        </w:rPr>
        <w:t>4</w:t>
      </w:r>
      <w:r>
        <w:rPr>
          <w:rFonts w:hint="eastAsia"/>
        </w:rPr>
        <w:t>本条提出了专项设计对</w:t>
      </w:r>
      <w:r>
        <w:rPr>
          <w:rFonts w:hint="eastAsia"/>
          <w:lang w:eastAsia="zh-CN"/>
        </w:rPr>
        <w:t>雨水利用</w:t>
      </w:r>
      <w:r>
        <w:rPr>
          <w:rFonts w:hint="eastAsia"/>
        </w:rPr>
        <w:t>系统的评价要求。</w:t>
      </w:r>
    </w:p>
    <w:p>
      <w:r>
        <w:rPr>
          <w:rFonts w:hint="eastAsia"/>
          <w:lang w:eastAsia="zh-CN"/>
        </w:rPr>
        <w:t>雨水利用</w:t>
      </w:r>
      <w:r>
        <w:rPr>
          <w:rFonts w:hint="eastAsia"/>
        </w:rPr>
        <w:t>系统在使用过程中存在误接、误用、误饮的危险。</w:t>
      </w:r>
      <w:r>
        <w:rPr>
          <w:rFonts w:hint="eastAsia"/>
          <w:lang w:eastAsia="zh-CN"/>
        </w:rPr>
        <w:t>雨水利用</w:t>
      </w:r>
      <w:r>
        <w:rPr>
          <w:rFonts w:hint="eastAsia"/>
        </w:rPr>
        <w:t>管道外壁必须涂色或标识，以便防止雨水管道误认为生活饮用水管道并与之连接。“雨水”标识虽然能防止认识且能看到文字的人误饮误用，但无光线时，以及儿童、盲人、文盲人群无法辨认，所以应在取水口上设锁具或专门开启工具。</w:t>
      </w:r>
    </w:p>
    <w:p>
      <w:r>
        <w:rPr>
          <w:rFonts w:hint="eastAsia"/>
          <w:lang w:val="en-US" w:eastAsia="zh-CN"/>
        </w:rPr>
        <w:t>5</w:t>
      </w:r>
      <w:r>
        <w:t>.1.</w:t>
      </w:r>
      <w:r>
        <w:rPr>
          <w:rFonts w:hint="eastAsia"/>
          <w:lang w:val="en-US" w:eastAsia="zh-CN"/>
        </w:rPr>
        <w:t>5</w:t>
      </w:r>
      <w:r>
        <w:t>本条提出了专项设计对市政雨水管渠设计标准的评价要求。</w:t>
      </w:r>
    </w:p>
    <w:p>
      <w:r>
        <w:rPr>
          <w:rFonts w:hint="eastAsia"/>
        </w:rPr>
        <w:t>城市道路海绵城市建设不能代替城市道路排水系统的排水功能，且不能因为海绵城市建设而降低雨水排放系统设计标准。</w:t>
      </w:r>
    </w:p>
    <w:p>
      <w:r>
        <w:rPr>
          <w:rFonts w:hint="eastAsia"/>
          <w:lang w:val="en-US" w:eastAsia="zh-CN"/>
        </w:rPr>
        <w:t>5</w:t>
      </w:r>
      <w:r>
        <w:t>.1.</w:t>
      </w:r>
      <w:r>
        <w:rPr>
          <w:rFonts w:hint="eastAsia"/>
          <w:lang w:val="en-US" w:eastAsia="zh-CN"/>
        </w:rPr>
        <w:t>6</w:t>
      </w:r>
      <w:r>
        <w:t>本条提出了专项设计对雨水入渗方面的评价要求。</w:t>
      </w:r>
    </w:p>
    <w:p>
      <w:r>
        <w:rPr>
          <w:rFonts w:hint="eastAsia"/>
        </w:rPr>
        <w:t>本条文规定了海绵城市设施建设不应对道路及附属管线的基础造成影响，防渗措施应满足现行国家标准《给水排水管道工程施工及验收规范》GB50268、《城镇道路路面设计规范》CJJ169、《城市道路路基设计规范》CJJ194、《城镇道路工程施工与质量验收规范》CJJ1及其他相应管线设计、验收规范的相关规定。</w:t>
      </w:r>
    </w:p>
    <w:p>
      <w:r>
        <w:rPr>
          <w:rFonts w:hint="eastAsia"/>
          <w:lang w:val="en-US" w:eastAsia="zh-CN"/>
        </w:rPr>
        <w:t>5</w:t>
      </w:r>
      <w:r>
        <w:t>.1.</w:t>
      </w:r>
      <w:r>
        <w:rPr>
          <w:rFonts w:hint="eastAsia"/>
        </w:rPr>
        <w:t>7</w:t>
      </w:r>
      <w:r>
        <w:t>本条提出了专项设计对场地内涝防治的评价要求。</w:t>
      </w:r>
    </w:p>
    <w:p>
      <w:r>
        <w:rPr>
          <w:rFonts w:hint="eastAsia"/>
        </w:rPr>
        <w:t>地形竖向是控制地表雨水径流的基础，专项设计要合理</w:t>
      </w:r>
      <w:r>
        <w:rPr>
          <w:rFonts w:hint="eastAsia"/>
          <w:lang w:val="en-US" w:eastAsia="zh-CN"/>
        </w:rPr>
        <w:t>确定</w:t>
      </w:r>
      <w:r>
        <w:rPr>
          <w:rFonts w:hint="eastAsia"/>
        </w:rPr>
        <w:t>场地竖向</w:t>
      </w:r>
      <w:r>
        <w:rPr>
          <w:rFonts w:hint="eastAsia"/>
          <w:lang w:val="en-US" w:eastAsia="zh-CN"/>
        </w:rPr>
        <w:t>标高</w:t>
      </w:r>
      <w:r>
        <w:rPr>
          <w:rFonts w:hint="eastAsia"/>
        </w:rPr>
        <w:t>，应确保径流雨水汇入绿色设施，还应符合场地的安全要求，防止雨水倒灌、积水等问题。</w:t>
      </w:r>
      <w:r>
        <w:rPr>
          <w:rFonts w:hint="eastAsia"/>
          <w:lang w:eastAsia="zh-CN"/>
        </w:rPr>
        <w:t>海绵城市设施</w:t>
      </w:r>
      <w:r>
        <w:rPr>
          <w:rFonts w:hint="eastAsia"/>
        </w:rPr>
        <w:t>建设项目的竖向设计应有利于径流汇入海绵城市设施。同时，应设有超标雨水外排措施，并应控制地面标高，防止区域外雨水汇入地块。既有项目海绵城市建设宜结合现状条件通过优化竖向设计解决地块积水问题。</w:t>
      </w:r>
    </w:p>
    <w:p>
      <w:r>
        <w:rPr>
          <w:rFonts w:hint="eastAsia"/>
          <w:lang w:val="en-US" w:eastAsia="zh-CN"/>
        </w:rPr>
        <w:t>5</w:t>
      </w:r>
      <w:r>
        <w:t>.1.</w:t>
      </w:r>
      <w:r>
        <w:rPr>
          <w:rFonts w:hint="eastAsia"/>
        </w:rPr>
        <w:t>10</w:t>
      </w:r>
      <w:r>
        <w:t>本条规定了专项设计对设计内容和深度的评价要求。</w:t>
      </w:r>
    </w:p>
    <w:p>
      <w:r>
        <w:t>海绵城市建设应参照《建筑工程设计文件编制深度规定</w:t>
      </w:r>
      <w:r>
        <w:rPr>
          <w:rFonts w:hint="eastAsia"/>
          <w:lang w:eastAsia="zh-CN"/>
        </w:rPr>
        <w:t>》《</w:t>
      </w:r>
      <w:r>
        <w:t>市政公用工程设计文件编制深度规定</w:t>
      </w:r>
      <w:r>
        <w:rPr>
          <w:rFonts w:hint="eastAsia"/>
          <w:lang w:eastAsia="zh-CN"/>
        </w:rPr>
        <w:t>》《</w:t>
      </w:r>
      <w:r>
        <w:rPr>
          <w:rFonts w:hint="eastAsia"/>
        </w:rPr>
        <w:t>山西省海绵城市建设设计文件编制规定及技术审查要点》</w:t>
      </w:r>
      <w:r>
        <w:t>等规定及地方相关标准中对不同设计阶段具体内容和深度的要求进行方案设计、初步设计和施工图设计。其中，方案设计根据海绵城市建设要求，因地制宜确定技术路线</w:t>
      </w:r>
      <w:r>
        <w:rPr>
          <w:rFonts w:hint="eastAsia"/>
        </w:rPr>
        <w:t>，</w:t>
      </w:r>
      <w:r>
        <w:t>提出径流控制目标及水质净化要求，并结合场地竖向设计，划分汇水分区</w:t>
      </w:r>
      <w:r>
        <w:rPr>
          <w:rFonts w:hint="eastAsia"/>
        </w:rPr>
        <w:t>，</w:t>
      </w:r>
      <w:r>
        <w:t>布局灰绿设施。初步设计、施工图设计应对上一阶段设计文件进行深化、细化</w:t>
      </w:r>
      <w:r>
        <w:rPr>
          <w:rFonts w:hint="eastAsia"/>
        </w:rPr>
        <w:t>，</w:t>
      </w:r>
      <w:r>
        <w:t>不得随意更改设计内容</w:t>
      </w:r>
      <w:r>
        <w:rPr>
          <w:rFonts w:hint="eastAsia"/>
        </w:rPr>
        <w:t>，</w:t>
      </w:r>
      <w:r>
        <w:t>不得降低海绵城市建设标准，以确保海绵城市设计目标和各项指标能够落实到位。</w:t>
      </w:r>
    </w:p>
    <w:p>
      <w:r>
        <w:rPr>
          <w:rFonts w:hint="eastAsia"/>
          <w:lang w:val="en-US" w:eastAsia="zh-CN"/>
        </w:rPr>
        <w:t>5</w:t>
      </w:r>
      <w:r>
        <w:t>.1.</w:t>
      </w:r>
      <w:r>
        <w:rPr>
          <w:rFonts w:hint="eastAsia"/>
        </w:rPr>
        <w:t>11</w:t>
      </w:r>
      <w:r>
        <w:t>本条规定了专项设计对计算校核的评价要求。</w:t>
      </w:r>
    </w:p>
    <w:p>
      <w:r>
        <w:t>海绵城市专项设计要以定量计算分析为依据</w:t>
      </w:r>
      <w:r>
        <w:rPr>
          <w:rFonts w:hint="eastAsia"/>
        </w:rPr>
        <w:t>，</w:t>
      </w:r>
      <w:r>
        <w:t>各类设施的规模根据控制目标及设施在具体应用中发挥的主要功能，选择容积法、流量法或水量平衡法等方法计算确定。有条件的还可利用模型模拟确定设施规模</w:t>
      </w:r>
      <w:r>
        <w:rPr>
          <w:rFonts w:hint="eastAsia"/>
        </w:rPr>
        <w:t>，</w:t>
      </w:r>
      <w:r>
        <w:t>进行达标分析和计算验证</w:t>
      </w:r>
      <w:r>
        <w:rPr>
          <w:rFonts w:hint="eastAsia"/>
        </w:rPr>
        <w:t>，</w:t>
      </w:r>
      <w:r>
        <w:t>对设计方案进行综合评估并结合技术经济分析选择最优方案。施工图设计期间对前阶段设计有重大调整的，应重新进行水文、水力计算。</w:t>
      </w:r>
    </w:p>
    <w:p>
      <w:r>
        <w:br w:type="page"/>
      </w:r>
    </w:p>
    <w:p>
      <w:pPr>
        <w:pStyle w:val="3"/>
      </w:pPr>
      <w:bookmarkStart w:id="103" w:name="_Toc164442582"/>
      <w:bookmarkStart w:id="104" w:name="_Toc12801"/>
      <w:bookmarkStart w:id="105" w:name="_Toc21879"/>
      <w:bookmarkStart w:id="106" w:name="_Toc15361"/>
      <w:bookmarkStart w:id="107" w:name="_Toc8217"/>
      <w:bookmarkStart w:id="108" w:name="_Toc164442259"/>
      <w:bookmarkStart w:id="109" w:name="_Toc24620"/>
      <w:bookmarkStart w:id="110" w:name="_Toc30214"/>
      <w:r>
        <w:rPr>
          <w:rFonts w:hint="eastAsia"/>
          <w:lang w:val="en-US" w:eastAsia="zh-CN"/>
        </w:rPr>
        <w:t>5</w:t>
      </w:r>
      <w:r>
        <w:t>.</w:t>
      </w:r>
      <w:r>
        <w:rPr>
          <w:rFonts w:hint="eastAsia"/>
        </w:rPr>
        <w:t>2</w:t>
      </w:r>
      <w:r>
        <w:t>评分项</w:t>
      </w:r>
      <w:bookmarkEnd w:id="103"/>
      <w:bookmarkEnd w:id="104"/>
      <w:bookmarkEnd w:id="105"/>
      <w:bookmarkEnd w:id="106"/>
      <w:bookmarkEnd w:id="107"/>
      <w:bookmarkEnd w:id="108"/>
      <w:bookmarkEnd w:id="109"/>
      <w:bookmarkEnd w:id="110"/>
    </w:p>
    <w:p>
      <w:r>
        <w:rPr>
          <w:rFonts w:hint="eastAsia"/>
          <w:lang w:val="en-US" w:eastAsia="zh-CN"/>
        </w:rPr>
        <w:t>5</w:t>
      </w:r>
      <w:r>
        <w:t>.2.1本条明确了专项设计的评分项评价标准。</w:t>
      </w:r>
    </w:p>
    <w:p>
      <w:r>
        <w:t>专项设计评价根据建筑与小区、道路</w:t>
      </w:r>
      <w:r>
        <w:rPr>
          <w:rFonts w:hint="eastAsia"/>
          <w:lang w:val="en-US" w:eastAsia="zh-CN"/>
        </w:rPr>
        <w:t>与广场</w:t>
      </w:r>
      <w:r>
        <w:t>、</w:t>
      </w:r>
      <w:r>
        <w:rPr>
          <w:rFonts w:hint="eastAsia"/>
          <w:lang w:val="en-US" w:eastAsia="zh-CN"/>
        </w:rPr>
        <w:t>公园</w:t>
      </w:r>
      <w:r>
        <w:t>绿地的项目特点，分别从建设目标达标性、技术措施适宜性和设计文件规范性三个方面分项目类型设置评价指标。</w:t>
      </w:r>
    </w:p>
    <w:p>
      <w:r>
        <w:t>评分项得分的计算有以下几种情况：</w:t>
      </w:r>
    </w:p>
    <w:p>
      <w:pPr>
        <w:keepNext w:val="0"/>
        <w:keepLines w:val="0"/>
        <w:widowControl/>
        <w:suppressLineNumbers w:val="0"/>
        <w:jc w:val="left"/>
      </w:pPr>
      <w:r>
        <w:rPr>
          <w:rFonts w:hint="eastAsia"/>
          <w:lang w:val="en-US" w:eastAsia="zh-CN"/>
        </w:rPr>
        <w:t>1</w:t>
      </w:r>
      <w:r>
        <w:t>一款条文评判一类性能或技术指标</w:t>
      </w:r>
      <w:r>
        <w:rPr>
          <w:rFonts w:hint="eastAsia"/>
          <w:lang w:val="en-US" w:eastAsia="zh-CN"/>
        </w:rPr>
        <w:t>。</w:t>
      </w:r>
      <w:r>
        <w:t>需要根据达标情况不同赋以不同评分</w:t>
      </w:r>
      <w:r>
        <w:rPr>
          <w:rFonts w:hint="eastAsia"/>
        </w:rPr>
        <w:t>，</w:t>
      </w:r>
      <w:r>
        <w:t>条文先表述指标评价要点</w:t>
      </w:r>
      <w:r>
        <w:rPr>
          <w:rFonts w:hint="eastAsia"/>
        </w:rPr>
        <w:t>，</w:t>
      </w:r>
      <w:r>
        <w:t>再将达标情况评判等级以项的形式表达，并按项赋以不同评分</w:t>
      </w:r>
      <w:r>
        <w:rPr>
          <w:rFonts w:hint="eastAsia"/>
        </w:rPr>
        <w:t>，</w:t>
      </w:r>
      <w:r>
        <w:t>评分从低分到高分排列，表格中的</w:t>
      </w:r>
      <w:r>
        <w:rPr>
          <w:rFonts w:hint="eastAsia"/>
          <w:lang w:eastAsia="zh-CN"/>
        </w:rPr>
        <w:t>“</w:t>
      </w:r>
      <w:r>
        <w:t>评分</w:t>
      </w:r>
      <w:r>
        <w:rPr>
          <w:rFonts w:hint="eastAsia"/>
          <w:lang w:eastAsia="zh-CN"/>
        </w:rPr>
        <w:t>”</w:t>
      </w:r>
      <w:r>
        <w:t>最高值与</w:t>
      </w:r>
      <w:r>
        <w:rPr>
          <w:rFonts w:hint="eastAsia"/>
          <w:lang w:eastAsia="zh-CN"/>
        </w:rPr>
        <w:t>“</w:t>
      </w:r>
      <w:r>
        <w:rPr>
          <w:rFonts w:hint="eastAsia"/>
          <w:lang w:val="en-US" w:eastAsia="zh-CN"/>
        </w:rPr>
        <w:t>最高得分</w:t>
      </w:r>
      <w:r>
        <w:rPr>
          <w:rFonts w:hint="eastAsia"/>
          <w:lang w:eastAsia="zh-CN"/>
        </w:rPr>
        <w:t>”</w:t>
      </w:r>
      <w:r>
        <w:t>相同</w:t>
      </w:r>
      <w:r>
        <w:rPr>
          <w:rFonts w:hint="eastAsia"/>
          <w:lang w:eastAsia="zh-CN"/>
        </w:rPr>
        <w:t>，</w:t>
      </w:r>
      <w:r>
        <w:rPr>
          <w:rFonts w:hint="eastAsia"/>
          <w:lang w:val="en-US" w:eastAsia="zh-CN"/>
        </w:rPr>
        <w:t>“最高得分”即本条“总分”</w:t>
      </w:r>
      <w:r>
        <w:t>。</w:t>
      </w:r>
      <w:r>
        <w:rPr>
          <w:rFonts w:hint="eastAsia"/>
          <w:lang w:val="en-US" w:eastAsia="zh-CN"/>
        </w:rPr>
        <w:t>主要适用于</w:t>
      </w:r>
      <w:r>
        <w:rPr>
          <w:rFonts w:hint="eastAsia" w:ascii="宋体" w:hAnsi="宋体" w:eastAsia="宋体" w:cs="宋体"/>
          <w:color w:val="000000"/>
          <w:kern w:val="0"/>
          <w:sz w:val="24"/>
          <w:szCs w:val="24"/>
          <w:lang w:val="en-US" w:eastAsia="zh-CN" w:bidi="ar"/>
        </w:rPr>
        <w:t>建设目标达标性</w:t>
      </w:r>
      <w:r>
        <w:rPr>
          <w:rFonts w:hint="eastAsia"/>
          <w:lang w:val="en-US" w:eastAsia="zh-CN"/>
        </w:rPr>
        <w:t>评价。</w:t>
      </w:r>
    </w:p>
    <w:p>
      <w:pPr>
        <w:keepNext w:val="0"/>
        <w:keepLines w:val="0"/>
        <w:widowControl/>
        <w:suppressLineNumbers w:val="0"/>
        <w:jc w:val="left"/>
      </w:pPr>
      <w:r>
        <w:rPr>
          <w:rFonts w:hint="eastAsia"/>
          <w:lang w:val="en-US" w:eastAsia="zh-CN"/>
        </w:rPr>
        <w:t>2</w:t>
      </w:r>
      <w:r>
        <w:t>一款条文评判一类性能或技术指标，不需要根据达标情况不同赋以不同评分，评分为固定数值</w:t>
      </w:r>
      <w:r>
        <w:rPr>
          <w:rFonts w:hint="eastAsia"/>
        </w:rPr>
        <w:t>，</w:t>
      </w:r>
      <w:r>
        <w:t>表格中的</w:t>
      </w:r>
      <w:r>
        <w:rPr>
          <w:rFonts w:hint="eastAsia"/>
          <w:lang w:eastAsia="zh-CN"/>
        </w:rPr>
        <w:t>“</w:t>
      </w:r>
      <w:r>
        <w:t>评分</w:t>
      </w:r>
      <w:r>
        <w:rPr>
          <w:rFonts w:hint="eastAsia"/>
          <w:lang w:eastAsia="zh-CN"/>
        </w:rPr>
        <w:t>”</w:t>
      </w:r>
      <w:r>
        <w:t>与</w:t>
      </w:r>
      <w:r>
        <w:rPr>
          <w:rFonts w:hint="eastAsia"/>
          <w:lang w:eastAsia="zh-CN"/>
        </w:rPr>
        <w:t>“</w:t>
      </w:r>
      <w:r>
        <w:t>总分</w:t>
      </w:r>
      <w:r>
        <w:rPr>
          <w:rFonts w:hint="eastAsia"/>
          <w:lang w:eastAsia="zh-CN"/>
        </w:rPr>
        <w:t>”</w:t>
      </w:r>
      <w:r>
        <w:t>相同。该评分项的得分计为0分或</w:t>
      </w:r>
      <w:r>
        <w:rPr>
          <w:rFonts w:hint="eastAsia"/>
          <w:lang w:eastAsia="zh-CN"/>
        </w:rPr>
        <w:t>“</w:t>
      </w:r>
      <w:r>
        <w:t>评分</w:t>
      </w:r>
      <w:r>
        <w:rPr>
          <w:rFonts w:hint="eastAsia"/>
          <w:lang w:eastAsia="zh-CN"/>
        </w:rPr>
        <w:t>”</w:t>
      </w:r>
      <w:r>
        <w:t>分值。</w:t>
      </w:r>
      <w:r>
        <w:rPr>
          <w:rFonts w:hint="eastAsia"/>
          <w:lang w:val="en-US" w:eastAsia="zh-CN"/>
        </w:rPr>
        <w:t>主要适用于加分项及部分建设目标达标性评价。</w:t>
      </w:r>
    </w:p>
    <w:p>
      <w:pPr>
        <w:keepNext w:val="0"/>
        <w:keepLines w:val="0"/>
        <w:widowControl/>
        <w:suppressLineNumbers w:val="0"/>
        <w:jc w:val="left"/>
      </w:pPr>
      <w:r>
        <w:t>3一款</w:t>
      </w:r>
      <w:r>
        <w:rPr>
          <w:rFonts w:hint="eastAsia"/>
          <w:lang w:val="en-US" w:eastAsia="zh-CN"/>
        </w:rPr>
        <w:t>条</w:t>
      </w:r>
      <w:r>
        <w:t>文评判多个技术指标，条文先表述指标评价要点，将多个技术指标的评判以项的形式表达，并按项赋以不同评分</w:t>
      </w:r>
      <w:r>
        <w:rPr>
          <w:rFonts w:hint="eastAsia"/>
        </w:rPr>
        <w:t>，</w:t>
      </w:r>
      <w:r>
        <w:t>表格中的</w:t>
      </w:r>
      <w:r>
        <w:rPr>
          <w:rFonts w:hint="eastAsia"/>
          <w:lang w:eastAsia="zh-CN"/>
        </w:rPr>
        <w:t>“</w:t>
      </w:r>
      <w:r>
        <w:t>评分</w:t>
      </w:r>
      <w:r>
        <w:rPr>
          <w:rFonts w:hint="eastAsia"/>
          <w:lang w:eastAsia="zh-CN"/>
        </w:rPr>
        <w:t>”</w:t>
      </w:r>
      <w:r>
        <w:rPr>
          <w:rFonts w:hint="eastAsia"/>
          <w:lang w:val="en-US" w:eastAsia="zh-CN"/>
        </w:rPr>
        <w:t>值</w:t>
      </w:r>
      <w:r>
        <w:t>和与</w:t>
      </w:r>
      <w:r>
        <w:rPr>
          <w:rFonts w:hint="eastAsia"/>
          <w:lang w:eastAsia="zh-CN"/>
        </w:rPr>
        <w:t>“</w:t>
      </w:r>
      <w:r>
        <w:t>总分</w:t>
      </w:r>
      <w:r>
        <w:rPr>
          <w:rFonts w:hint="eastAsia"/>
          <w:lang w:eastAsia="zh-CN"/>
        </w:rPr>
        <w:t>”</w:t>
      </w:r>
      <w:r>
        <w:t>相同。该评分项的得分计为0分或达标对应的</w:t>
      </w:r>
      <w:r>
        <w:rPr>
          <w:rFonts w:hint="eastAsia"/>
          <w:lang w:eastAsia="zh-CN"/>
        </w:rPr>
        <w:t>“</w:t>
      </w:r>
      <w:r>
        <w:t>评分</w:t>
      </w:r>
      <w:r>
        <w:rPr>
          <w:rFonts w:hint="eastAsia"/>
          <w:lang w:eastAsia="zh-CN"/>
        </w:rPr>
        <w:t>”</w:t>
      </w:r>
      <w:r>
        <w:t>分值累计之和。</w:t>
      </w:r>
      <w:r>
        <w:rPr>
          <w:rFonts w:hint="eastAsia"/>
          <w:lang w:val="en-US" w:eastAsia="zh-CN"/>
        </w:rPr>
        <w:t>主要适用于</w:t>
      </w:r>
      <w:r>
        <w:rPr>
          <w:rFonts w:hint="eastAsia" w:ascii="宋体" w:hAnsi="宋体" w:eastAsia="宋体" w:cs="宋体"/>
          <w:color w:val="000000"/>
          <w:kern w:val="0"/>
          <w:sz w:val="24"/>
          <w:szCs w:val="24"/>
          <w:lang w:val="en-US" w:eastAsia="zh-CN" w:bidi="ar"/>
        </w:rPr>
        <w:t>技术措施适宜性</w:t>
      </w:r>
      <w:r>
        <w:rPr>
          <w:rFonts w:hint="eastAsia" w:ascii="宋体" w:hAnsi="宋体" w:cs="宋体"/>
          <w:color w:val="000000"/>
          <w:kern w:val="0"/>
          <w:sz w:val="24"/>
          <w:szCs w:val="24"/>
          <w:lang w:val="en-US" w:eastAsia="zh-CN" w:bidi="ar"/>
        </w:rPr>
        <w:t>评价</w:t>
      </w:r>
      <w:r>
        <w:rPr>
          <w:rFonts w:hint="eastAsia"/>
          <w:lang w:val="en-US" w:eastAsia="zh-CN"/>
        </w:rPr>
        <w:t>。</w:t>
      </w:r>
    </w:p>
    <w:p>
      <w:r>
        <w:t>4不参评的评分项不计分。</w:t>
      </w:r>
    </w:p>
    <w:p>
      <w:r>
        <w:rPr>
          <w:rFonts w:hint="eastAsia"/>
          <w:lang w:val="en-US" w:eastAsia="zh-CN"/>
        </w:rPr>
        <w:t>5</w:t>
      </w:r>
      <w:r>
        <w:t>.2.2</w:t>
      </w:r>
      <w:r>
        <w:rPr>
          <w:rFonts w:hint="eastAsia"/>
        </w:rPr>
        <w:t>本条明确了专项设计评价的评分项得分的计算方法。</w:t>
      </w:r>
    </w:p>
    <w:p/>
    <w:p/>
    <w:p>
      <w:pPr>
        <w:sectPr>
          <w:footerReference r:id="rId9" w:type="default"/>
          <w:pgSz w:w="11906" w:h="16838"/>
          <w:pgMar w:top="1440" w:right="1800" w:bottom="1440" w:left="1800" w:header="851" w:footer="992" w:gutter="0"/>
          <w:pgNumType w:start="1"/>
          <w:cols w:space="425" w:num="1"/>
          <w:docGrid w:type="lines" w:linePitch="312" w:charSpace="0"/>
        </w:sectPr>
      </w:pPr>
    </w:p>
    <w:p>
      <w:pPr>
        <w:pStyle w:val="2"/>
      </w:pPr>
      <w:bookmarkStart w:id="111" w:name="_Toc164442583"/>
      <w:bookmarkStart w:id="112" w:name="_Toc17738"/>
      <w:bookmarkStart w:id="113" w:name="_Toc13298"/>
      <w:bookmarkStart w:id="114" w:name="_Toc30864"/>
      <w:bookmarkStart w:id="115" w:name="_Toc13612"/>
      <w:bookmarkStart w:id="116" w:name="_Toc164442260"/>
      <w:bookmarkStart w:id="117" w:name="_Toc20437"/>
      <w:bookmarkStart w:id="118" w:name="_Toc27107"/>
      <w:r>
        <w:rPr>
          <w:rFonts w:hint="eastAsia"/>
          <w:lang w:val="en-US" w:eastAsia="zh-CN"/>
        </w:rPr>
        <w:t>6</w:t>
      </w:r>
      <w:r>
        <w:t>施工建设评价</w:t>
      </w:r>
      <w:bookmarkEnd w:id="111"/>
      <w:bookmarkEnd w:id="112"/>
      <w:bookmarkEnd w:id="113"/>
      <w:bookmarkEnd w:id="114"/>
      <w:bookmarkEnd w:id="115"/>
      <w:bookmarkEnd w:id="116"/>
      <w:bookmarkEnd w:id="117"/>
      <w:bookmarkEnd w:id="118"/>
    </w:p>
    <w:p>
      <w:pPr>
        <w:pStyle w:val="3"/>
      </w:pPr>
      <w:bookmarkStart w:id="119" w:name="_Toc19596"/>
      <w:bookmarkStart w:id="120" w:name="_Toc11978"/>
      <w:bookmarkStart w:id="121" w:name="_Toc5383"/>
      <w:bookmarkStart w:id="122" w:name="_Toc17195"/>
      <w:bookmarkStart w:id="123" w:name="_Toc7645"/>
      <w:bookmarkStart w:id="124" w:name="_Toc29922"/>
      <w:bookmarkStart w:id="125" w:name="_Toc164442261"/>
      <w:bookmarkStart w:id="126" w:name="_Toc164442584"/>
      <w:r>
        <w:rPr>
          <w:rFonts w:hint="eastAsia"/>
          <w:lang w:val="en-US" w:eastAsia="zh-CN"/>
        </w:rPr>
        <w:t>6</w:t>
      </w:r>
      <w:r>
        <w:t>.1控制项</w:t>
      </w:r>
      <w:bookmarkEnd w:id="119"/>
      <w:bookmarkEnd w:id="120"/>
      <w:bookmarkEnd w:id="121"/>
      <w:bookmarkEnd w:id="122"/>
      <w:bookmarkEnd w:id="123"/>
      <w:bookmarkEnd w:id="124"/>
      <w:bookmarkEnd w:id="125"/>
      <w:bookmarkEnd w:id="126"/>
    </w:p>
    <w:p>
      <w:r>
        <w:rPr>
          <w:rFonts w:hint="eastAsia"/>
          <w:lang w:val="en-US" w:eastAsia="zh-CN"/>
        </w:rPr>
        <w:t>6</w:t>
      </w:r>
      <w:r>
        <w:rPr>
          <w:rFonts w:hint="eastAsia"/>
        </w:rPr>
        <w:t>.</w:t>
      </w:r>
      <w:r>
        <w:t>1.1本条明确了施工单位资格的评价要求。</w:t>
      </w:r>
    </w:p>
    <w:p>
      <w:r>
        <w:t>海绵城市建设要求多专业配合协调，因此施工单位必须具备相关各专业施工的技术能力和综合素质，才能确保项目的顺利完成。安全生产条件是施工安全保障的基础</w:t>
      </w:r>
      <w:r>
        <w:rPr>
          <w:rFonts w:hint="eastAsia"/>
        </w:rPr>
        <w:t>，</w:t>
      </w:r>
      <w:r>
        <w:t>施工技术标准体系、质量控制和检验制度、环境保护措施及文明生产要求是促使施工单位建设程序化、标准化、系统化及合理化的关键</w:t>
      </w:r>
      <w:r>
        <w:rPr>
          <w:rFonts w:hint="eastAsia"/>
        </w:rPr>
        <w:t>，</w:t>
      </w:r>
      <w:r>
        <w:t>必须制定必要的管理制度。施工人员的技术水平和专业素养是影响工程质量的重要因素，施工单位配备具有海绵城市建设相关专业知识的技术人员，有助于更好应对施工中遇到的问题，降低工程施工过程中可能的风险。</w:t>
      </w:r>
    </w:p>
    <w:p>
      <w:r>
        <w:rPr>
          <w:rFonts w:hint="eastAsia"/>
          <w:lang w:val="en-US" w:eastAsia="zh-CN"/>
        </w:rPr>
        <w:t>6</w:t>
      </w:r>
      <w:r>
        <w:t>.1.2本条明确了施工建设依据的评价要求。</w:t>
      </w:r>
    </w:p>
    <w:p>
      <w:r>
        <w:t>项目的施工建设需要有据可依、有章可循。施工单位需要结合项目合同约定、</w:t>
      </w:r>
      <w:r>
        <w:rPr>
          <w:rFonts w:hint="eastAsia"/>
          <w:lang w:val="en-US" w:eastAsia="zh-CN"/>
        </w:rPr>
        <w:t>主管</w:t>
      </w:r>
      <w:r>
        <w:t>部门审查合格的设计文件和国家、地方规定的相关施工技术标准等编制海绵城市建设项目的施工组织设计，并按照审批成果进行规范化施工、管理，做到有迹可查。</w:t>
      </w:r>
    </w:p>
    <w:p>
      <w:r>
        <w:rPr>
          <w:rFonts w:hint="eastAsia"/>
          <w:lang w:val="en-US" w:eastAsia="zh-CN"/>
        </w:rPr>
        <w:t>6</w:t>
      </w:r>
      <w:r>
        <w:t>.1.3本条明确了施工组织的评价要求。</w:t>
      </w:r>
    </w:p>
    <w:p>
      <w:r>
        <w:rPr>
          <w:rFonts w:hint="eastAsia"/>
        </w:rPr>
        <w:t>海绵城市建设施工是对原场地的改造过程，改变了场地的原始状态，对周边环境也会造成影响，包括水土流失、土壤、污染、扬尘、噪声、污水排放等。为了有效减小施工对环境的影响，应制定施工组织和全过程的环境保护计划。明确施工中各相关方应承担的责任，将环境保护措施落实到具体责任人，实施过程中开展定期检查，保证环境保护目标的实现。</w:t>
      </w:r>
    </w:p>
    <w:p>
      <w:r>
        <w:rPr>
          <w:rFonts w:hint="eastAsia"/>
          <w:lang w:val="en-US" w:eastAsia="zh-CN"/>
        </w:rPr>
        <w:t>6</w:t>
      </w:r>
      <w:r>
        <w:t>.1.4本条明确了施工材料验收的评价要求。</w:t>
      </w:r>
    </w:p>
    <w:p>
      <w:r>
        <w:t>海绵城市建设中涉及的部分原材料在渗透性等方面具有特殊要求，其材料品质会直接影响项目施工质量和建成效果。进场验收应检查每批产品的订购合同、质量合格数、性能检验报告、使用说明书、进口产品的商检报告及证件等，并按国家、地方有关标准规定进行复验</w:t>
      </w:r>
      <w:r>
        <w:rPr>
          <w:rFonts w:hint="eastAsia"/>
        </w:rPr>
        <w:t>，</w:t>
      </w:r>
      <w:r>
        <w:t>确保施工材料的性能和质量，避免由于使用不合格材料而对工程质量和节能环保带来较大的影响，进而对海绵城市建设项目的质量带来隐患。</w:t>
      </w:r>
    </w:p>
    <w:p>
      <w:r>
        <w:rPr>
          <w:rFonts w:hint="eastAsia"/>
          <w:lang w:val="en-US" w:eastAsia="zh-CN"/>
        </w:rPr>
        <w:t>6</w:t>
      </w:r>
      <w:r>
        <w:t>.1.5本条明确了隐蔽分项工程验收的评价要求。</w:t>
      </w:r>
    </w:p>
    <w:p>
      <w:r>
        <w:t>海绵</w:t>
      </w:r>
      <w:r>
        <w:rPr>
          <w:rFonts w:hint="eastAsia"/>
        </w:rPr>
        <w:t>城市</w:t>
      </w:r>
      <w:r>
        <w:t>建设项目的所有隐蔽工程均应在隐蔽前经验收各方检验合格后，才能予以隐蔽。</w:t>
      </w:r>
    </w:p>
    <w:p>
      <w:r>
        <w:rPr>
          <w:rFonts w:hint="eastAsia"/>
          <w:lang w:val="en-US" w:eastAsia="zh-CN"/>
        </w:rPr>
        <w:t>6</w:t>
      </w:r>
      <w:r>
        <w:t>.1.6本条明确了施工验收程序和成果的评价要求。</w:t>
      </w:r>
    </w:p>
    <w:p>
      <w:r>
        <w:t>竣工验收是全面考核建设工作、</w:t>
      </w:r>
      <w:r>
        <w:rPr>
          <w:rFonts w:hint="eastAsia"/>
        </w:rPr>
        <w:t>检查</w:t>
      </w:r>
      <w:r>
        <w:t>是否符合设计要求和工程质量的重要环节。海绵城市建设项目系统验收后，还应开展联合验收时</w:t>
      </w:r>
      <w:r>
        <w:rPr>
          <w:rFonts w:hint="eastAsia"/>
        </w:rPr>
        <w:t>，</w:t>
      </w:r>
      <w:r>
        <w:t>由建设单位与规划部门、海绵城市行政主管部门及海绵城市管理相关单位等参加验收。验收过程需对海绵城市相关指标进行评估，满足设计要求。如待验收项目涉及安全、节能、环境保护时，建设单位还应组织专家论证。</w:t>
      </w:r>
    </w:p>
    <w:p>
      <w:r>
        <w:t>项目竣工验收报告中应说明海绵城市建设中绿色设施的落实情况，并</w:t>
      </w:r>
      <w:r>
        <w:rPr>
          <w:rFonts w:hint="eastAsia"/>
          <w:lang w:eastAsia="zh-CN"/>
        </w:rPr>
        <w:t>附</w:t>
      </w:r>
      <w:r>
        <w:t>相关证明材料。竣工验收报告及有关文件、资料应尽快备案、完整归档，为后期海绵城市运行维护提供书面技术依据。</w:t>
      </w:r>
    </w:p>
    <w:p>
      <w:r>
        <w:rPr>
          <w:rFonts w:hint="eastAsia"/>
          <w:lang w:val="en-US" w:eastAsia="zh-CN"/>
        </w:rPr>
        <w:t>6</w:t>
      </w:r>
      <w:r>
        <w:t>.1.7本条明确了施工建设安全、环保的评价要求。</w:t>
      </w:r>
    </w:p>
    <w:p>
      <w:r>
        <w:t>海绵城市建设是转变城市发展方式、完善城市治理体系、提高城市治理能力、解决城市病等突出问题的一种重要手段，体现了城市建设的先进性。施工过程中发生重大生产、质量和污染事故违反了海绵城市建设的初衷，因此要加强施工单位和技术人员的质量安全意识，避免出现施工图纸不熟悉、施工方案不合理、施工管理不到位等问题</w:t>
      </w:r>
      <w:r>
        <w:rPr>
          <w:rFonts w:hint="eastAsia"/>
        </w:rPr>
        <w:t>，</w:t>
      </w:r>
      <w:r>
        <w:t>从而导致建设事故和不良影响。</w:t>
      </w:r>
    </w:p>
    <w:p>
      <w:r>
        <w:br w:type="page"/>
      </w:r>
    </w:p>
    <w:p>
      <w:pPr>
        <w:pStyle w:val="3"/>
      </w:pPr>
      <w:bookmarkStart w:id="127" w:name="_Toc21088"/>
      <w:bookmarkStart w:id="128" w:name="_Toc3895"/>
      <w:bookmarkStart w:id="129" w:name="_Toc164442585"/>
      <w:bookmarkStart w:id="130" w:name="_Toc27450"/>
      <w:bookmarkStart w:id="131" w:name="_Toc10368"/>
      <w:bookmarkStart w:id="132" w:name="_Toc164442262"/>
      <w:bookmarkStart w:id="133" w:name="_Toc13041"/>
      <w:bookmarkStart w:id="134" w:name="_Toc23237"/>
      <w:r>
        <w:rPr>
          <w:rFonts w:hint="eastAsia"/>
          <w:lang w:val="en-US" w:eastAsia="zh-CN"/>
        </w:rPr>
        <w:t>6</w:t>
      </w:r>
      <w:r>
        <w:t>.2评分项</w:t>
      </w:r>
      <w:bookmarkEnd w:id="127"/>
      <w:bookmarkEnd w:id="128"/>
      <w:bookmarkEnd w:id="129"/>
      <w:bookmarkEnd w:id="130"/>
      <w:bookmarkEnd w:id="131"/>
      <w:bookmarkEnd w:id="132"/>
      <w:bookmarkEnd w:id="133"/>
      <w:bookmarkEnd w:id="134"/>
    </w:p>
    <w:p>
      <w:r>
        <w:rPr>
          <w:rFonts w:hint="eastAsia"/>
          <w:lang w:val="en-US" w:eastAsia="zh-CN"/>
        </w:rPr>
        <w:t>6</w:t>
      </w:r>
      <w:r>
        <w:t>.2.1本条明确了施工建设的评分项评价标准。</w:t>
      </w:r>
    </w:p>
    <w:p>
      <w:r>
        <w:t>施工建设评价分别从建设过程管理规范性、项目质量合格性、技术措施环保性三个方面设置评价指标。具体评分项得分的计算情况同</w:t>
      </w:r>
      <w:r>
        <w:rPr>
          <w:rFonts w:hint="eastAsia"/>
          <w:lang w:val="en-US" w:eastAsia="zh-CN"/>
        </w:rPr>
        <w:t>5</w:t>
      </w:r>
      <w:r>
        <w:rPr>
          <w:rFonts w:hint="eastAsia"/>
        </w:rPr>
        <w:t>.2.1条文</w:t>
      </w:r>
      <w:r>
        <w:t>说明。</w:t>
      </w:r>
    </w:p>
    <w:p>
      <w:r>
        <w:rPr>
          <w:rFonts w:hint="eastAsia"/>
          <w:lang w:val="en-US" w:eastAsia="zh-CN"/>
        </w:rPr>
        <w:t>6</w:t>
      </w:r>
      <w:r>
        <w:t>.2.2本条明确了施工建设评价的评分项得分的计算方法。</w:t>
      </w:r>
    </w:p>
    <w:p>
      <w:r>
        <w:br w:type="page"/>
      </w:r>
    </w:p>
    <w:p>
      <w:pPr>
        <w:pStyle w:val="2"/>
      </w:pPr>
      <w:bookmarkStart w:id="135" w:name="_Toc8005"/>
      <w:bookmarkStart w:id="136" w:name="_Toc164442263"/>
      <w:bookmarkStart w:id="137" w:name="_Toc13396"/>
      <w:bookmarkStart w:id="138" w:name="_Toc21225"/>
      <w:bookmarkStart w:id="139" w:name="_Toc164442586"/>
      <w:bookmarkStart w:id="140" w:name="_Toc10389"/>
      <w:bookmarkStart w:id="141" w:name="_Toc11866"/>
      <w:bookmarkStart w:id="142" w:name="_Toc20713"/>
      <w:r>
        <w:rPr>
          <w:rFonts w:hint="eastAsia"/>
          <w:lang w:val="en-US" w:eastAsia="zh-CN"/>
        </w:rPr>
        <w:t>7</w:t>
      </w:r>
      <w:r>
        <w:rPr>
          <w:rFonts w:hint="eastAsia"/>
        </w:rPr>
        <w:t xml:space="preserve"> </w:t>
      </w:r>
      <w:r>
        <w:rPr>
          <w:rFonts w:hint="eastAsia"/>
          <w:lang w:eastAsia="zh-CN"/>
        </w:rPr>
        <w:t>建设效果</w:t>
      </w:r>
      <w:r>
        <w:rPr>
          <w:rFonts w:hint="eastAsia"/>
        </w:rPr>
        <w:t>评价</w:t>
      </w:r>
      <w:bookmarkEnd w:id="135"/>
      <w:bookmarkEnd w:id="136"/>
      <w:bookmarkEnd w:id="137"/>
      <w:bookmarkEnd w:id="138"/>
      <w:bookmarkEnd w:id="139"/>
      <w:bookmarkEnd w:id="140"/>
      <w:bookmarkEnd w:id="141"/>
      <w:bookmarkEnd w:id="142"/>
    </w:p>
    <w:p>
      <w:pPr>
        <w:pStyle w:val="3"/>
      </w:pPr>
      <w:bookmarkStart w:id="143" w:name="_Toc164442264"/>
      <w:bookmarkStart w:id="144" w:name="_Toc29321"/>
      <w:bookmarkStart w:id="145" w:name="_Toc19792"/>
      <w:bookmarkStart w:id="146" w:name="_Toc18919"/>
      <w:bookmarkStart w:id="147" w:name="_Toc9985"/>
      <w:bookmarkStart w:id="148" w:name="_Toc16232"/>
      <w:bookmarkStart w:id="149" w:name="_Toc6436"/>
      <w:bookmarkStart w:id="150" w:name="_Toc164442587"/>
      <w:r>
        <w:rPr>
          <w:rFonts w:hint="eastAsia"/>
          <w:lang w:val="en-US" w:eastAsia="zh-CN"/>
        </w:rPr>
        <w:t>7</w:t>
      </w:r>
      <w:r>
        <w:t>.1控制项</w:t>
      </w:r>
      <w:bookmarkEnd w:id="143"/>
      <w:bookmarkEnd w:id="144"/>
      <w:bookmarkEnd w:id="145"/>
      <w:bookmarkEnd w:id="146"/>
      <w:bookmarkEnd w:id="147"/>
      <w:bookmarkEnd w:id="148"/>
      <w:bookmarkEnd w:id="149"/>
      <w:bookmarkEnd w:id="150"/>
    </w:p>
    <w:p>
      <w:r>
        <w:rPr>
          <w:rFonts w:hint="eastAsia"/>
          <w:lang w:val="en-US" w:eastAsia="zh-CN"/>
        </w:rPr>
        <w:t>7</w:t>
      </w:r>
      <w:r>
        <w:rPr>
          <w:rFonts w:hint="eastAsia"/>
        </w:rPr>
        <w:t>.1.1</w:t>
      </w:r>
      <w:r>
        <w:t>本条明确了</w:t>
      </w:r>
      <w:r>
        <w:rPr>
          <w:rFonts w:hint="eastAsia"/>
          <w:lang w:eastAsia="zh-CN"/>
        </w:rPr>
        <w:t>海绵城市</w:t>
      </w:r>
      <w:r>
        <w:rPr>
          <w:rFonts w:hint="eastAsia"/>
          <w:lang w:val="en-US" w:eastAsia="zh-CN"/>
        </w:rPr>
        <w:t>项目竣工图的要求</w:t>
      </w:r>
      <w:r>
        <w:t>。</w:t>
      </w:r>
    </w:p>
    <w:p>
      <w:r>
        <w:rPr>
          <w:rFonts w:hint="eastAsia"/>
        </w:rPr>
        <w:t>海绵城市建设工程应按照</w:t>
      </w:r>
      <w:r>
        <w:rPr>
          <w:rFonts w:hint="eastAsia"/>
          <w:lang w:val="en-US" w:eastAsia="zh-CN"/>
        </w:rPr>
        <w:t>海绵城市主管部门认定的</w:t>
      </w:r>
      <w:r>
        <w:rPr>
          <w:rFonts w:hint="eastAsia"/>
        </w:rPr>
        <w:t>设计文件进行施工，对于未</w:t>
      </w:r>
      <w:r>
        <w:rPr>
          <w:rFonts w:hint="eastAsia"/>
          <w:lang w:val="en-US" w:eastAsia="zh-CN"/>
        </w:rPr>
        <w:t>经认定</w:t>
      </w:r>
      <w:r>
        <w:rPr>
          <w:rFonts w:hint="eastAsia"/>
        </w:rPr>
        <w:t>的施工图设计文件施工的，竣工验收应</w:t>
      </w:r>
      <w:r>
        <w:rPr>
          <w:rFonts w:hint="eastAsia"/>
          <w:lang w:eastAsia="zh-CN"/>
        </w:rPr>
        <w:t>当确</w:t>
      </w:r>
      <w:r>
        <w:rPr>
          <w:rFonts w:hint="eastAsia"/>
        </w:rPr>
        <w:t>定为不合格。通过查阅竣工图、施工图等文件，并进行现场核查，确定</w:t>
      </w:r>
      <w:r>
        <w:rPr>
          <w:rFonts w:hint="eastAsia"/>
          <w:lang w:eastAsia="zh-CN"/>
        </w:rPr>
        <w:t>海绵城市设施</w:t>
      </w:r>
      <w:r>
        <w:rPr>
          <w:rFonts w:hint="eastAsia"/>
        </w:rPr>
        <w:t>建设是否</w:t>
      </w:r>
      <w:r>
        <w:rPr>
          <w:rFonts w:hint="eastAsia"/>
          <w:lang w:val="en-US" w:eastAsia="zh-CN"/>
        </w:rPr>
        <w:t>与施工图</w:t>
      </w:r>
      <w:r>
        <w:rPr>
          <w:rFonts w:hint="eastAsia"/>
        </w:rPr>
        <w:t>一致。</w:t>
      </w:r>
    </w:p>
    <w:p>
      <w:r>
        <w:rPr>
          <w:rFonts w:hint="eastAsia"/>
          <w:lang w:val="en-US" w:eastAsia="zh-CN"/>
        </w:rPr>
        <w:t>7</w:t>
      </w:r>
      <w:r>
        <w:rPr>
          <w:rFonts w:hint="eastAsia"/>
        </w:rPr>
        <w:t>.1.2本条明确了</w:t>
      </w:r>
      <w:r>
        <w:rPr>
          <w:rFonts w:hint="eastAsia"/>
          <w:lang w:eastAsia="zh-CN"/>
        </w:rPr>
        <w:t>海绵城市设施</w:t>
      </w:r>
      <w:r>
        <w:rPr>
          <w:rFonts w:hint="eastAsia"/>
        </w:rPr>
        <w:t>运行的评价标准。</w:t>
      </w:r>
    </w:p>
    <w:p>
      <w:pPr>
        <w:rPr>
          <w:rFonts w:hint="default" w:eastAsia="宋体"/>
          <w:lang w:val="en-US" w:eastAsia="zh-CN"/>
        </w:rPr>
      </w:pPr>
      <w:r>
        <w:rPr>
          <w:rFonts w:hint="eastAsia"/>
          <w:lang w:eastAsia="zh-CN"/>
        </w:rPr>
        <w:t>海绵城市设施</w:t>
      </w:r>
      <w:r>
        <w:rPr>
          <w:rFonts w:hint="eastAsia"/>
        </w:rPr>
        <w:t>运行应以保障海绵城市建设效应为根本，关闭、改造、拆除设施或运行维护工作不规范、不到位，均可能造成海绵效应的降低或产生次生危害。通过核查竣工验收图纸与项目现场情况的差异、观察设施运行状态、检查设施环境等方法判断设施的系统完整程度、运行效能水平。</w:t>
      </w:r>
      <w:r>
        <w:rPr>
          <w:rFonts w:hint="eastAsia"/>
          <w:lang w:val="en-US" w:eastAsia="zh-CN"/>
        </w:rPr>
        <w:t>雨水利用水质可采用现场观察、取样检测等方式进行，有明显黑臭现象的可以认定为不合格。</w:t>
      </w:r>
    </w:p>
    <w:p>
      <w:r>
        <w:rPr>
          <w:rFonts w:hint="eastAsia"/>
          <w:lang w:val="en-US" w:eastAsia="zh-CN"/>
        </w:rPr>
        <w:t>7</w:t>
      </w:r>
      <w:r>
        <w:rPr>
          <w:rFonts w:hint="eastAsia"/>
        </w:rPr>
        <w:t>.1.3</w:t>
      </w:r>
      <w:r>
        <w:t>本条提出了内涝防治</w:t>
      </w:r>
      <w:r>
        <w:rPr>
          <w:rFonts w:hint="eastAsia"/>
          <w:lang w:eastAsia="zh-CN"/>
        </w:rPr>
        <w:t>建设效果</w:t>
      </w:r>
      <w:r>
        <w:t>的评价标准。</w:t>
      </w:r>
    </w:p>
    <w:p>
      <w:r>
        <w:rPr>
          <w:rFonts w:hint="eastAsia"/>
        </w:rPr>
        <w:t>易发生内涝的建筑小区、道路、下沉式立交桥区等区域可采取增加雨水调蓄设施等措施，通过强排和调蓄结合，提高防涝能力。同时在内涝积水区域应设置警示标识和报警系统，配备应急设施及专职管理人员，保证暴雨期间人员的安全撤离，避免安全事故的发生。</w:t>
      </w:r>
    </w:p>
    <w:p>
      <w:r>
        <w:rPr>
          <w:rFonts w:hint="eastAsia"/>
          <w:lang w:val="en-US" w:eastAsia="zh-CN"/>
        </w:rPr>
        <w:t>7</w:t>
      </w:r>
      <w:r>
        <w:rPr>
          <w:rFonts w:hint="eastAsia"/>
        </w:rPr>
        <w:t>.1.4</w:t>
      </w:r>
      <w:r>
        <w:t>本条提出了工业厂区</w:t>
      </w:r>
      <w:r>
        <w:rPr>
          <w:rFonts w:hint="eastAsia"/>
          <w:lang w:val="en-US" w:eastAsia="zh-CN"/>
        </w:rPr>
        <w:t>径流</w:t>
      </w:r>
      <w:r>
        <w:t>雨水控制的评价标准。</w:t>
      </w:r>
    </w:p>
    <w:p>
      <w:pPr>
        <w:rPr>
          <w:rFonts w:hint="eastAsia"/>
        </w:rPr>
      </w:pPr>
      <w:r>
        <w:rPr>
          <w:rFonts w:hint="eastAsia"/>
        </w:rPr>
        <w:t>工业厂区地面污染严重的区域指地面易累积污染物的区域，例如化工厂、农药厂、金属冶炼加工厂、铸造厂、电镀厂、涂装厂、油库、加油加气站等</w:t>
      </w:r>
      <w:r>
        <w:t>，</w:t>
      </w:r>
      <w:r>
        <w:rPr>
          <w:rFonts w:hint="eastAsia"/>
        </w:rPr>
        <w:t>或环保部门经环境影响评估后要求进行事故及消防水应急收集处理、初期地面雨水收集处理、厂区雨水事故应急处理等环境突发应急措施的场所，对于污染严重的场所初期雨水应进行收集处理。</w:t>
      </w:r>
      <w:bookmarkStart w:id="151" w:name="_Toc164442588"/>
      <w:bookmarkStart w:id="152" w:name="_Toc20676"/>
      <w:bookmarkStart w:id="153" w:name="_Toc164442265"/>
    </w:p>
    <w:p>
      <w:pPr>
        <w:rPr>
          <w:rFonts w:hint="eastAsia"/>
        </w:rPr>
      </w:pPr>
    </w:p>
    <w:p>
      <w:r>
        <w:rPr>
          <w:rFonts w:hint="eastAsia"/>
        </w:rPr>
        <w:br w:type="page"/>
      </w:r>
    </w:p>
    <w:p>
      <w:pPr>
        <w:pStyle w:val="3"/>
      </w:pPr>
      <w:bookmarkStart w:id="154" w:name="_Toc28577"/>
      <w:bookmarkStart w:id="155" w:name="_Toc938"/>
      <w:bookmarkStart w:id="156" w:name="_Toc8486"/>
      <w:bookmarkStart w:id="157" w:name="_Toc30288"/>
      <w:bookmarkStart w:id="158" w:name="_Toc8542"/>
      <w:r>
        <w:rPr>
          <w:rFonts w:hint="eastAsia"/>
          <w:lang w:val="en-US" w:eastAsia="zh-CN"/>
        </w:rPr>
        <w:t>7</w:t>
      </w:r>
      <w:r>
        <w:rPr>
          <w:rFonts w:hint="eastAsia"/>
        </w:rPr>
        <w:t>.2评分项</w:t>
      </w:r>
      <w:bookmarkEnd w:id="151"/>
      <w:bookmarkEnd w:id="152"/>
      <w:bookmarkEnd w:id="153"/>
      <w:bookmarkEnd w:id="154"/>
      <w:bookmarkEnd w:id="155"/>
      <w:bookmarkEnd w:id="156"/>
      <w:bookmarkEnd w:id="157"/>
      <w:bookmarkEnd w:id="158"/>
    </w:p>
    <w:p>
      <w:r>
        <w:rPr>
          <w:rFonts w:hint="eastAsia"/>
          <w:lang w:val="en-US" w:eastAsia="zh-CN"/>
        </w:rPr>
        <w:t>7</w:t>
      </w:r>
      <w:r>
        <w:t>.2.1本条明确了</w:t>
      </w:r>
      <w:r>
        <w:rPr>
          <w:rFonts w:hint="eastAsia"/>
          <w:lang w:eastAsia="zh-CN"/>
        </w:rPr>
        <w:t>建设效果</w:t>
      </w:r>
      <w:r>
        <w:t>的评分项评价标准。</w:t>
      </w:r>
    </w:p>
    <w:p>
      <w:r>
        <w:rPr>
          <w:rFonts w:hint="eastAsia"/>
          <w:lang w:eastAsia="zh-CN"/>
        </w:rPr>
        <w:t>建设效果</w:t>
      </w:r>
      <w:r>
        <w:t>评价分别从通用设施建设运行情况、评价对象</w:t>
      </w:r>
      <w:r>
        <w:rPr>
          <w:rFonts w:hint="eastAsia"/>
          <w:lang w:eastAsia="zh-CN"/>
        </w:rPr>
        <w:t>建设效果</w:t>
      </w:r>
      <w:r>
        <w:t>、创新性及公众参与程度三个方面设置评价指标。具体评分项得分的计算情况同</w:t>
      </w:r>
      <w:r>
        <w:rPr>
          <w:rFonts w:hint="eastAsia"/>
          <w:lang w:val="en-US" w:eastAsia="zh-CN"/>
        </w:rPr>
        <w:t>5</w:t>
      </w:r>
      <w:r>
        <w:rPr>
          <w:rFonts w:hint="eastAsia"/>
        </w:rPr>
        <w:t>.2.1条文</w:t>
      </w:r>
      <w:r>
        <w:t>说明。</w:t>
      </w:r>
    </w:p>
    <w:p>
      <w:r>
        <w:rPr>
          <w:rFonts w:hint="eastAsia"/>
          <w:lang w:val="en-US" w:eastAsia="zh-CN"/>
        </w:rPr>
        <w:t>7</w:t>
      </w:r>
      <w:r>
        <w:t>.2.2本条明确了</w:t>
      </w:r>
      <w:r>
        <w:rPr>
          <w:rFonts w:hint="eastAsia"/>
          <w:lang w:eastAsia="zh-CN"/>
        </w:rPr>
        <w:t>建设效果</w:t>
      </w:r>
      <w:r>
        <w:t>评价的评分项得分的计算方法。</w:t>
      </w:r>
    </w:p>
    <w:p/>
    <w:sectPr>
      <w:footerReference r:id="rId10"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Cambria Math">
    <w:altName w:val="DejaVu Math TeX Gyre"/>
    <w:panose1 w:val="02040503050406030204"/>
    <w:charset w:val="00"/>
    <w:family w:val="roman"/>
    <w:pitch w:val="default"/>
    <w:sig w:usb0="00000000" w:usb1="00000000" w:usb2="02000000" w:usb3="00000000" w:csb0="2000019F" w:csb1="00000000"/>
  </w:font>
  <w:font w:name="STSong-Light">
    <w:altName w:val="仿宋_GB2312"/>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nWxrOFQIAABkEAAAOAAAAAAAAAAEAIAAAADUBAABkcnMvZTJvRG9jLnhtbFBLBQYAAAAABgAG&#10;AFkBAAC8BQAAAAA=&#10;">
              <v:fill on="f" focussize="0,0"/>
              <v:stroke on="f" weight="0.5pt"/>
              <v:imagedata o:title=""/>
              <o:lock v:ext="edit" aspectratio="f"/>
              <v:textbox inset="0mm,0mm,0mm,0mm" style="mso-fit-shape-to-text:t;">
                <w:txbxContent>
                  <w:p>
                    <w:pPr>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Bp+M3hYCAAAZBAAADgAAAAAAAAABACAAAAA1AQAAZHJzL2Uyb0RvYy54bWxQSwUGAAAAAAYA&#10;BgBZAQAAvQUAAAAA&#10;">
              <v:fill on="f" focussize="0,0"/>
              <v:stroke on="f" weight="0.5pt"/>
              <v:imagedata o:title=""/>
              <o:lock v:ext="edit" aspectratio="f"/>
              <v:textbox inset="0mm,0mm,0mm,0mm" style="mso-fit-shape-to-text:t;">
                <w:txbxContent>
                  <w:p>
                    <w:pPr>
                      <w:tabs>
                        <w:tab w:val="center" w:pos="4153"/>
                        <w:tab w:val="right" w:pos="8306"/>
                      </w:tabs>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tabs>
                        <w:tab w:val="center" w:pos="4153"/>
                        <w:tab w:val="right" w:pos="8306"/>
                      </w:tabs>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6AB73B"/>
    <w:multiLevelType w:val="singleLevel"/>
    <w:tmpl w:val="EC6AB73B"/>
    <w:lvl w:ilvl="0" w:tentative="0">
      <w:start w:val="1"/>
      <w:numFmt w:val="decimal"/>
      <w:suff w:val="nothing"/>
      <w:lvlText w:val="%1）"/>
      <w:lvlJc w:val="left"/>
    </w:lvl>
  </w:abstractNum>
  <w:abstractNum w:abstractNumId="1">
    <w:nsid w:val="2508A7D6"/>
    <w:multiLevelType w:val="singleLevel"/>
    <w:tmpl w:val="2508A7D6"/>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kZmM5YTZmOWRiN2U1MGJlYmQzMmE5Y2ZjMzE4YTMifQ=="/>
  </w:docVars>
  <w:rsids>
    <w:rsidRoot w:val="00172A27"/>
    <w:rsid w:val="00004956"/>
    <w:rsid w:val="000262E0"/>
    <w:rsid w:val="00044CA5"/>
    <w:rsid w:val="00063DFF"/>
    <w:rsid w:val="000773A1"/>
    <w:rsid w:val="0008034E"/>
    <w:rsid w:val="00094E9A"/>
    <w:rsid w:val="000B51C9"/>
    <w:rsid w:val="000C303F"/>
    <w:rsid w:val="000C49B1"/>
    <w:rsid w:val="000D1EE0"/>
    <w:rsid w:val="000D2507"/>
    <w:rsid w:val="000E21F5"/>
    <w:rsid w:val="000E5ACB"/>
    <w:rsid w:val="0014005B"/>
    <w:rsid w:val="00142210"/>
    <w:rsid w:val="00156ED5"/>
    <w:rsid w:val="001639FA"/>
    <w:rsid w:val="0016753D"/>
    <w:rsid w:val="00172A27"/>
    <w:rsid w:val="001B52CF"/>
    <w:rsid w:val="001C2648"/>
    <w:rsid w:val="001D48C5"/>
    <w:rsid w:val="001D6ACD"/>
    <w:rsid w:val="001F0F53"/>
    <w:rsid w:val="001F6C5F"/>
    <w:rsid w:val="0020032F"/>
    <w:rsid w:val="00201B7F"/>
    <w:rsid w:val="0025726C"/>
    <w:rsid w:val="0026584F"/>
    <w:rsid w:val="00265E81"/>
    <w:rsid w:val="0028215B"/>
    <w:rsid w:val="002839AF"/>
    <w:rsid w:val="002857A6"/>
    <w:rsid w:val="00291F42"/>
    <w:rsid w:val="002A6E1B"/>
    <w:rsid w:val="002C03CC"/>
    <w:rsid w:val="002C37B0"/>
    <w:rsid w:val="002C3FA1"/>
    <w:rsid w:val="002C589D"/>
    <w:rsid w:val="002E31EF"/>
    <w:rsid w:val="002F0575"/>
    <w:rsid w:val="002F4E81"/>
    <w:rsid w:val="002F53E9"/>
    <w:rsid w:val="002F781D"/>
    <w:rsid w:val="00327FBC"/>
    <w:rsid w:val="00347922"/>
    <w:rsid w:val="003665DD"/>
    <w:rsid w:val="00392C8C"/>
    <w:rsid w:val="003E732E"/>
    <w:rsid w:val="003F6B13"/>
    <w:rsid w:val="00422CC1"/>
    <w:rsid w:val="00424BFA"/>
    <w:rsid w:val="00426E73"/>
    <w:rsid w:val="004362B2"/>
    <w:rsid w:val="00456E69"/>
    <w:rsid w:val="0047343F"/>
    <w:rsid w:val="00492923"/>
    <w:rsid w:val="004A1F3B"/>
    <w:rsid w:val="004A7586"/>
    <w:rsid w:val="004B5D0B"/>
    <w:rsid w:val="004B707C"/>
    <w:rsid w:val="004E388A"/>
    <w:rsid w:val="005123FF"/>
    <w:rsid w:val="005247EB"/>
    <w:rsid w:val="00553F79"/>
    <w:rsid w:val="00572EF4"/>
    <w:rsid w:val="005848FC"/>
    <w:rsid w:val="00592D71"/>
    <w:rsid w:val="00597914"/>
    <w:rsid w:val="005E4D74"/>
    <w:rsid w:val="00612A1A"/>
    <w:rsid w:val="006457A7"/>
    <w:rsid w:val="006766C7"/>
    <w:rsid w:val="0068394F"/>
    <w:rsid w:val="0069496F"/>
    <w:rsid w:val="006978FD"/>
    <w:rsid w:val="006A52FA"/>
    <w:rsid w:val="006A6190"/>
    <w:rsid w:val="006C1B2B"/>
    <w:rsid w:val="006E12CD"/>
    <w:rsid w:val="006E5370"/>
    <w:rsid w:val="006F23F0"/>
    <w:rsid w:val="007021CD"/>
    <w:rsid w:val="007112DA"/>
    <w:rsid w:val="00716552"/>
    <w:rsid w:val="00726856"/>
    <w:rsid w:val="007366FB"/>
    <w:rsid w:val="00760A1D"/>
    <w:rsid w:val="007618E9"/>
    <w:rsid w:val="00766136"/>
    <w:rsid w:val="00767028"/>
    <w:rsid w:val="00770114"/>
    <w:rsid w:val="0077439B"/>
    <w:rsid w:val="0078612A"/>
    <w:rsid w:val="007A1D9F"/>
    <w:rsid w:val="007F1452"/>
    <w:rsid w:val="00804650"/>
    <w:rsid w:val="00816ADF"/>
    <w:rsid w:val="00825025"/>
    <w:rsid w:val="00841143"/>
    <w:rsid w:val="0085553B"/>
    <w:rsid w:val="008640E3"/>
    <w:rsid w:val="00875E2B"/>
    <w:rsid w:val="00877561"/>
    <w:rsid w:val="008815CA"/>
    <w:rsid w:val="008878D1"/>
    <w:rsid w:val="008A6B17"/>
    <w:rsid w:val="008A79B5"/>
    <w:rsid w:val="008B12A9"/>
    <w:rsid w:val="008D1FAC"/>
    <w:rsid w:val="008F529A"/>
    <w:rsid w:val="008F73BC"/>
    <w:rsid w:val="0090470B"/>
    <w:rsid w:val="0090643E"/>
    <w:rsid w:val="009068DF"/>
    <w:rsid w:val="00913329"/>
    <w:rsid w:val="00916C40"/>
    <w:rsid w:val="0093281C"/>
    <w:rsid w:val="00932ED1"/>
    <w:rsid w:val="00937AFA"/>
    <w:rsid w:val="0094073D"/>
    <w:rsid w:val="00943625"/>
    <w:rsid w:val="00943776"/>
    <w:rsid w:val="0094510E"/>
    <w:rsid w:val="0095412B"/>
    <w:rsid w:val="00954D4C"/>
    <w:rsid w:val="009553D7"/>
    <w:rsid w:val="0096108F"/>
    <w:rsid w:val="009677F8"/>
    <w:rsid w:val="00977946"/>
    <w:rsid w:val="0098564E"/>
    <w:rsid w:val="00995FF4"/>
    <w:rsid w:val="009C4495"/>
    <w:rsid w:val="009D152D"/>
    <w:rsid w:val="00A44E17"/>
    <w:rsid w:val="00A9158F"/>
    <w:rsid w:val="00A96123"/>
    <w:rsid w:val="00A97DD5"/>
    <w:rsid w:val="00AC3198"/>
    <w:rsid w:val="00AD7EDE"/>
    <w:rsid w:val="00B00E65"/>
    <w:rsid w:val="00B055C5"/>
    <w:rsid w:val="00B13DD8"/>
    <w:rsid w:val="00B66992"/>
    <w:rsid w:val="00B75988"/>
    <w:rsid w:val="00B86874"/>
    <w:rsid w:val="00BA007C"/>
    <w:rsid w:val="00BB63DB"/>
    <w:rsid w:val="00BC2005"/>
    <w:rsid w:val="00BD03AA"/>
    <w:rsid w:val="00BD496C"/>
    <w:rsid w:val="00BE316E"/>
    <w:rsid w:val="00C06B22"/>
    <w:rsid w:val="00C14E9A"/>
    <w:rsid w:val="00C2248E"/>
    <w:rsid w:val="00C33842"/>
    <w:rsid w:val="00C530FF"/>
    <w:rsid w:val="00C53C40"/>
    <w:rsid w:val="00C614A2"/>
    <w:rsid w:val="00C7608D"/>
    <w:rsid w:val="00C7729F"/>
    <w:rsid w:val="00C80479"/>
    <w:rsid w:val="00C87BC3"/>
    <w:rsid w:val="00CB6D98"/>
    <w:rsid w:val="00CD6E12"/>
    <w:rsid w:val="00D21792"/>
    <w:rsid w:val="00D25FE1"/>
    <w:rsid w:val="00D33B05"/>
    <w:rsid w:val="00D358CF"/>
    <w:rsid w:val="00D3662F"/>
    <w:rsid w:val="00D37E48"/>
    <w:rsid w:val="00D40CF1"/>
    <w:rsid w:val="00D43A9C"/>
    <w:rsid w:val="00D46E25"/>
    <w:rsid w:val="00D74C25"/>
    <w:rsid w:val="00D9036D"/>
    <w:rsid w:val="00DA47D3"/>
    <w:rsid w:val="00DB7D48"/>
    <w:rsid w:val="00DD05C6"/>
    <w:rsid w:val="00DD516B"/>
    <w:rsid w:val="00DD77AF"/>
    <w:rsid w:val="00E03D3C"/>
    <w:rsid w:val="00E0484F"/>
    <w:rsid w:val="00E05E5D"/>
    <w:rsid w:val="00E306F1"/>
    <w:rsid w:val="00E3372A"/>
    <w:rsid w:val="00E341C4"/>
    <w:rsid w:val="00E63A85"/>
    <w:rsid w:val="00E644B1"/>
    <w:rsid w:val="00E91F07"/>
    <w:rsid w:val="00E94CBF"/>
    <w:rsid w:val="00EA2A58"/>
    <w:rsid w:val="00EB1EC7"/>
    <w:rsid w:val="00EB5361"/>
    <w:rsid w:val="00EC487C"/>
    <w:rsid w:val="00EE09B8"/>
    <w:rsid w:val="00F154B7"/>
    <w:rsid w:val="00F22906"/>
    <w:rsid w:val="00F30381"/>
    <w:rsid w:val="00F713C7"/>
    <w:rsid w:val="00FC4D05"/>
    <w:rsid w:val="00FC59B1"/>
    <w:rsid w:val="00FD1A06"/>
    <w:rsid w:val="00FE406D"/>
    <w:rsid w:val="00FF1248"/>
    <w:rsid w:val="01207B0A"/>
    <w:rsid w:val="01255120"/>
    <w:rsid w:val="014F5717"/>
    <w:rsid w:val="01830099"/>
    <w:rsid w:val="019D73AC"/>
    <w:rsid w:val="01A2719B"/>
    <w:rsid w:val="01CF32DE"/>
    <w:rsid w:val="02117D9A"/>
    <w:rsid w:val="0229507B"/>
    <w:rsid w:val="02327B72"/>
    <w:rsid w:val="02425B42"/>
    <w:rsid w:val="024C7024"/>
    <w:rsid w:val="025709BA"/>
    <w:rsid w:val="02755FB4"/>
    <w:rsid w:val="027D0F8C"/>
    <w:rsid w:val="02C44A25"/>
    <w:rsid w:val="02C46BBB"/>
    <w:rsid w:val="02D432A2"/>
    <w:rsid w:val="02FF7BF3"/>
    <w:rsid w:val="03232E4E"/>
    <w:rsid w:val="033124A2"/>
    <w:rsid w:val="03323EE3"/>
    <w:rsid w:val="033248AB"/>
    <w:rsid w:val="03430C16"/>
    <w:rsid w:val="036E7A8F"/>
    <w:rsid w:val="03993BA4"/>
    <w:rsid w:val="039C2178"/>
    <w:rsid w:val="03B44E81"/>
    <w:rsid w:val="03BA21BB"/>
    <w:rsid w:val="03F612F2"/>
    <w:rsid w:val="04054EAE"/>
    <w:rsid w:val="040E6340"/>
    <w:rsid w:val="040F2377"/>
    <w:rsid w:val="04192F42"/>
    <w:rsid w:val="042948F2"/>
    <w:rsid w:val="044A32D4"/>
    <w:rsid w:val="044F0706"/>
    <w:rsid w:val="04706FFA"/>
    <w:rsid w:val="047B0B7A"/>
    <w:rsid w:val="048B1475"/>
    <w:rsid w:val="04966335"/>
    <w:rsid w:val="04AB2F2E"/>
    <w:rsid w:val="04D23811"/>
    <w:rsid w:val="04D77CEF"/>
    <w:rsid w:val="04F76DD4"/>
    <w:rsid w:val="04FD1C31"/>
    <w:rsid w:val="05080FE1"/>
    <w:rsid w:val="05177476"/>
    <w:rsid w:val="05266597"/>
    <w:rsid w:val="0541763F"/>
    <w:rsid w:val="05494C98"/>
    <w:rsid w:val="056401E1"/>
    <w:rsid w:val="057070A2"/>
    <w:rsid w:val="05826142"/>
    <w:rsid w:val="05917228"/>
    <w:rsid w:val="059F00D7"/>
    <w:rsid w:val="05DE4166"/>
    <w:rsid w:val="05FC6E12"/>
    <w:rsid w:val="06023C82"/>
    <w:rsid w:val="065B191C"/>
    <w:rsid w:val="068154EF"/>
    <w:rsid w:val="06A20FC1"/>
    <w:rsid w:val="06B05B29"/>
    <w:rsid w:val="06D05B2E"/>
    <w:rsid w:val="06F2019A"/>
    <w:rsid w:val="07100621"/>
    <w:rsid w:val="076B5857"/>
    <w:rsid w:val="07770ECE"/>
    <w:rsid w:val="0781610A"/>
    <w:rsid w:val="07852DBD"/>
    <w:rsid w:val="07A56FBB"/>
    <w:rsid w:val="07D258D6"/>
    <w:rsid w:val="07FD0C48"/>
    <w:rsid w:val="080C528C"/>
    <w:rsid w:val="08115A8A"/>
    <w:rsid w:val="081859DF"/>
    <w:rsid w:val="081D7E86"/>
    <w:rsid w:val="08332819"/>
    <w:rsid w:val="083A378F"/>
    <w:rsid w:val="08555045"/>
    <w:rsid w:val="086C5D2B"/>
    <w:rsid w:val="087911A9"/>
    <w:rsid w:val="087A71EC"/>
    <w:rsid w:val="088A677D"/>
    <w:rsid w:val="08BF40AC"/>
    <w:rsid w:val="08C72115"/>
    <w:rsid w:val="08DA0569"/>
    <w:rsid w:val="09390957"/>
    <w:rsid w:val="09445CEA"/>
    <w:rsid w:val="09710AAB"/>
    <w:rsid w:val="09A17C56"/>
    <w:rsid w:val="09BB4E9E"/>
    <w:rsid w:val="09F064E7"/>
    <w:rsid w:val="0A122902"/>
    <w:rsid w:val="0A4C3902"/>
    <w:rsid w:val="0A7113D6"/>
    <w:rsid w:val="0AB47515"/>
    <w:rsid w:val="0ACF434F"/>
    <w:rsid w:val="0AEA2F37"/>
    <w:rsid w:val="0AEB3735"/>
    <w:rsid w:val="0B0E131B"/>
    <w:rsid w:val="0B275F39"/>
    <w:rsid w:val="0B28415D"/>
    <w:rsid w:val="0B2A5D63"/>
    <w:rsid w:val="0B362BF0"/>
    <w:rsid w:val="0B386398"/>
    <w:rsid w:val="0B6F414B"/>
    <w:rsid w:val="0B743D93"/>
    <w:rsid w:val="0B7A250D"/>
    <w:rsid w:val="0B987CF2"/>
    <w:rsid w:val="0B9C2776"/>
    <w:rsid w:val="0B9E7C8F"/>
    <w:rsid w:val="0BAE0408"/>
    <w:rsid w:val="0BC8041E"/>
    <w:rsid w:val="0BCA5413"/>
    <w:rsid w:val="0BCB2D68"/>
    <w:rsid w:val="0BDA2FAB"/>
    <w:rsid w:val="0BDF5CD6"/>
    <w:rsid w:val="0C030754"/>
    <w:rsid w:val="0C193AD3"/>
    <w:rsid w:val="0C222045"/>
    <w:rsid w:val="0C2661F0"/>
    <w:rsid w:val="0C2801BA"/>
    <w:rsid w:val="0C2A700E"/>
    <w:rsid w:val="0C2C0636"/>
    <w:rsid w:val="0C4A74E7"/>
    <w:rsid w:val="0C8278CB"/>
    <w:rsid w:val="0CC14C34"/>
    <w:rsid w:val="0CD14E5E"/>
    <w:rsid w:val="0CD345CA"/>
    <w:rsid w:val="0CDD0FA5"/>
    <w:rsid w:val="0CEB157D"/>
    <w:rsid w:val="0CF54541"/>
    <w:rsid w:val="0D42581B"/>
    <w:rsid w:val="0D5045C9"/>
    <w:rsid w:val="0D5A0848"/>
    <w:rsid w:val="0D692839"/>
    <w:rsid w:val="0D7C3B6B"/>
    <w:rsid w:val="0D8B1867"/>
    <w:rsid w:val="0D972831"/>
    <w:rsid w:val="0DBF3AF7"/>
    <w:rsid w:val="0DD22C15"/>
    <w:rsid w:val="0DDE080F"/>
    <w:rsid w:val="0DFA638C"/>
    <w:rsid w:val="0E040E49"/>
    <w:rsid w:val="0E1E3623"/>
    <w:rsid w:val="0E235A8F"/>
    <w:rsid w:val="0E3829CD"/>
    <w:rsid w:val="0E707BF7"/>
    <w:rsid w:val="0E794CFD"/>
    <w:rsid w:val="0E9071CD"/>
    <w:rsid w:val="0E9D6C3E"/>
    <w:rsid w:val="0EA24254"/>
    <w:rsid w:val="0EB462A0"/>
    <w:rsid w:val="0ED03208"/>
    <w:rsid w:val="0EE54141"/>
    <w:rsid w:val="0F1267FE"/>
    <w:rsid w:val="0F184516"/>
    <w:rsid w:val="0F4D1A8A"/>
    <w:rsid w:val="0F8658A4"/>
    <w:rsid w:val="0F935942"/>
    <w:rsid w:val="0FAA013D"/>
    <w:rsid w:val="0FAF60B0"/>
    <w:rsid w:val="0FB104C7"/>
    <w:rsid w:val="0FB10E6B"/>
    <w:rsid w:val="0FC36648"/>
    <w:rsid w:val="101F7126"/>
    <w:rsid w:val="10285972"/>
    <w:rsid w:val="103E7FAD"/>
    <w:rsid w:val="10533F40"/>
    <w:rsid w:val="10563A86"/>
    <w:rsid w:val="10836498"/>
    <w:rsid w:val="10A51DDA"/>
    <w:rsid w:val="10C72BB8"/>
    <w:rsid w:val="10D566B1"/>
    <w:rsid w:val="10D91A83"/>
    <w:rsid w:val="11174714"/>
    <w:rsid w:val="11273BC1"/>
    <w:rsid w:val="114063D0"/>
    <w:rsid w:val="11823EC9"/>
    <w:rsid w:val="11875156"/>
    <w:rsid w:val="11B16700"/>
    <w:rsid w:val="11E20E0C"/>
    <w:rsid w:val="12325769"/>
    <w:rsid w:val="125149B8"/>
    <w:rsid w:val="125A36C4"/>
    <w:rsid w:val="126A6D15"/>
    <w:rsid w:val="127631F4"/>
    <w:rsid w:val="128B3251"/>
    <w:rsid w:val="12942106"/>
    <w:rsid w:val="12957C2C"/>
    <w:rsid w:val="12AD0F11"/>
    <w:rsid w:val="12B24C82"/>
    <w:rsid w:val="12C21534"/>
    <w:rsid w:val="12D456D3"/>
    <w:rsid w:val="12DE5B33"/>
    <w:rsid w:val="13013A04"/>
    <w:rsid w:val="130354DD"/>
    <w:rsid w:val="130B3871"/>
    <w:rsid w:val="130C499A"/>
    <w:rsid w:val="135275F4"/>
    <w:rsid w:val="13537416"/>
    <w:rsid w:val="1360023A"/>
    <w:rsid w:val="13983E78"/>
    <w:rsid w:val="139E27C3"/>
    <w:rsid w:val="13EE5846"/>
    <w:rsid w:val="13F61EC9"/>
    <w:rsid w:val="13FE7D6E"/>
    <w:rsid w:val="14077798"/>
    <w:rsid w:val="14290F74"/>
    <w:rsid w:val="142E75DC"/>
    <w:rsid w:val="143516C6"/>
    <w:rsid w:val="145558C5"/>
    <w:rsid w:val="146A5814"/>
    <w:rsid w:val="147D5F25"/>
    <w:rsid w:val="148A7C64"/>
    <w:rsid w:val="148E1DC2"/>
    <w:rsid w:val="14AB540D"/>
    <w:rsid w:val="14D012B2"/>
    <w:rsid w:val="14DF5511"/>
    <w:rsid w:val="14EA425F"/>
    <w:rsid w:val="151E288C"/>
    <w:rsid w:val="153B2D0D"/>
    <w:rsid w:val="159E0259"/>
    <w:rsid w:val="15A12DA4"/>
    <w:rsid w:val="15AE0C34"/>
    <w:rsid w:val="15AE34DE"/>
    <w:rsid w:val="15DF5D8E"/>
    <w:rsid w:val="15E769F0"/>
    <w:rsid w:val="164F43C2"/>
    <w:rsid w:val="16AE4733"/>
    <w:rsid w:val="16BA1A5A"/>
    <w:rsid w:val="16E3365C"/>
    <w:rsid w:val="16E42F30"/>
    <w:rsid w:val="16F775BF"/>
    <w:rsid w:val="173E0892"/>
    <w:rsid w:val="1742200C"/>
    <w:rsid w:val="17425C0C"/>
    <w:rsid w:val="176B1F52"/>
    <w:rsid w:val="176D3D6D"/>
    <w:rsid w:val="17740758"/>
    <w:rsid w:val="17C64F6E"/>
    <w:rsid w:val="17CE1448"/>
    <w:rsid w:val="17D4404E"/>
    <w:rsid w:val="17D872F9"/>
    <w:rsid w:val="17E4768B"/>
    <w:rsid w:val="17FE48E7"/>
    <w:rsid w:val="1807337A"/>
    <w:rsid w:val="180E4708"/>
    <w:rsid w:val="181A4E37"/>
    <w:rsid w:val="183E4041"/>
    <w:rsid w:val="18510A99"/>
    <w:rsid w:val="18512847"/>
    <w:rsid w:val="18635AD1"/>
    <w:rsid w:val="18711565"/>
    <w:rsid w:val="18785E4F"/>
    <w:rsid w:val="18860E6A"/>
    <w:rsid w:val="18891FE1"/>
    <w:rsid w:val="189270E7"/>
    <w:rsid w:val="18A443F3"/>
    <w:rsid w:val="18AB1F57"/>
    <w:rsid w:val="18C21B4C"/>
    <w:rsid w:val="18DA018B"/>
    <w:rsid w:val="18E831AB"/>
    <w:rsid w:val="18F2402A"/>
    <w:rsid w:val="19037FE5"/>
    <w:rsid w:val="192915D9"/>
    <w:rsid w:val="194F6A41"/>
    <w:rsid w:val="19644C42"/>
    <w:rsid w:val="19646212"/>
    <w:rsid w:val="196F7207"/>
    <w:rsid w:val="19792055"/>
    <w:rsid w:val="19803FA1"/>
    <w:rsid w:val="19883DFF"/>
    <w:rsid w:val="19DC436D"/>
    <w:rsid w:val="1A0D03C5"/>
    <w:rsid w:val="1A1F69B1"/>
    <w:rsid w:val="1A2E4894"/>
    <w:rsid w:val="1A61164B"/>
    <w:rsid w:val="1A8B6FB7"/>
    <w:rsid w:val="1A9F5AEC"/>
    <w:rsid w:val="1AA03612"/>
    <w:rsid w:val="1AC63078"/>
    <w:rsid w:val="1ADA6B24"/>
    <w:rsid w:val="1B033911"/>
    <w:rsid w:val="1B056CCF"/>
    <w:rsid w:val="1B102E74"/>
    <w:rsid w:val="1B2A7955"/>
    <w:rsid w:val="1B4245B5"/>
    <w:rsid w:val="1B6F5C36"/>
    <w:rsid w:val="1BAA299A"/>
    <w:rsid w:val="1BAF7FB0"/>
    <w:rsid w:val="1BC81072"/>
    <w:rsid w:val="1BD16179"/>
    <w:rsid w:val="1C0A3439"/>
    <w:rsid w:val="1C116575"/>
    <w:rsid w:val="1C4F2BF7"/>
    <w:rsid w:val="1C8D76F3"/>
    <w:rsid w:val="1CB11B06"/>
    <w:rsid w:val="1CF365D9"/>
    <w:rsid w:val="1CF97C14"/>
    <w:rsid w:val="1D320E99"/>
    <w:rsid w:val="1D6A3078"/>
    <w:rsid w:val="1D830A7E"/>
    <w:rsid w:val="1D9E3123"/>
    <w:rsid w:val="1DBC0763"/>
    <w:rsid w:val="1DCB652F"/>
    <w:rsid w:val="1DD67A2A"/>
    <w:rsid w:val="1DDA6EE9"/>
    <w:rsid w:val="1DE64689"/>
    <w:rsid w:val="1DF45F43"/>
    <w:rsid w:val="1E002D45"/>
    <w:rsid w:val="1E262080"/>
    <w:rsid w:val="1E2F2C87"/>
    <w:rsid w:val="1E436020"/>
    <w:rsid w:val="1E45337F"/>
    <w:rsid w:val="1E560BB7"/>
    <w:rsid w:val="1E71779F"/>
    <w:rsid w:val="1E8E20FF"/>
    <w:rsid w:val="1E9B2DB3"/>
    <w:rsid w:val="1EB02877"/>
    <w:rsid w:val="1ED31E0E"/>
    <w:rsid w:val="1EDB140F"/>
    <w:rsid w:val="1EEC608F"/>
    <w:rsid w:val="1F1F4218"/>
    <w:rsid w:val="1F2E28E5"/>
    <w:rsid w:val="1F3A2FA7"/>
    <w:rsid w:val="1F3E12F5"/>
    <w:rsid w:val="1F4924CA"/>
    <w:rsid w:val="1F6812BB"/>
    <w:rsid w:val="1F7C1DF0"/>
    <w:rsid w:val="1F7D1043"/>
    <w:rsid w:val="1F9574BD"/>
    <w:rsid w:val="1F9C4CF0"/>
    <w:rsid w:val="1FBA6F24"/>
    <w:rsid w:val="1FC55FF4"/>
    <w:rsid w:val="1FD91AA0"/>
    <w:rsid w:val="1FE50445"/>
    <w:rsid w:val="1FFF3EF4"/>
    <w:rsid w:val="200A7EAB"/>
    <w:rsid w:val="201A4F8A"/>
    <w:rsid w:val="201D3F72"/>
    <w:rsid w:val="20362A4E"/>
    <w:rsid w:val="203F14FE"/>
    <w:rsid w:val="203F53F2"/>
    <w:rsid w:val="207D637D"/>
    <w:rsid w:val="20AA343C"/>
    <w:rsid w:val="20D12777"/>
    <w:rsid w:val="20DA7CF3"/>
    <w:rsid w:val="210E0A1B"/>
    <w:rsid w:val="21160CC8"/>
    <w:rsid w:val="21244D7F"/>
    <w:rsid w:val="213A7A8E"/>
    <w:rsid w:val="21661C41"/>
    <w:rsid w:val="217001E2"/>
    <w:rsid w:val="218F1705"/>
    <w:rsid w:val="21B26104"/>
    <w:rsid w:val="220B7F0B"/>
    <w:rsid w:val="221626E5"/>
    <w:rsid w:val="222114DC"/>
    <w:rsid w:val="222334A6"/>
    <w:rsid w:val="222E3DA5"/>
    <w:rsid w:val="22477195"/>
    <w:rsid w:val="22626003"/>
    <w:rsid w:val="22687908"/>
    <w:rsid w:val="226D14E0"/>
    <w:rsid w:val="227C28CE"/>
    <w:rsid w:val="230E2772"/>
    <w:rsid w:val="23177672"/>
    <w:rsid w:val="232B2612"/>
    <w:rsid w:val="2331574F"/>
    <w:rsid w:val="23386ADD"/>
    <w:rsid w:val="23564902"/>
    <w:rsid w:val="238C7C22"/>
    <w:rsid w:val="239161EE"/>
    <w:rsid w:val="23916600"/>
    <w:rsid w:val="23975B92"/>
    <w:rsid w:val="239A4F50"/>
    <w:rsid w:val="23C05002"/>
    <w:rsid w:val="23E427C1"/>
    <w:rsid w:val="24013373"/>
    <w:rsid w:val="2407629A"/>
    <w:rsid w:val="240B41F2"/>
    <w:rsid w:val="241E1510"/>
    <w:rsid w:val="242D5F16"/>
    <w:rsid w:val="24343FE1"/>
    <w:rsid w:val="244F0D84"/>
    <w:rsid w:val="24572F93"/>
    <w:rsid w:val="2480698E"/>
    <w:rsid w:val="24A537F4"/>
    <w:rsid w:val="24C40F03"/>
    <w:rsid w:val="24CB6037"/>
    <w:rsid w:val="24E26528"/>
    <w:rsid w:val="24EB70CB"/>
    <w:rsid w:val="251D40A6"/>
    <w:rsid w:val="252836F0"/>
    <w:rsid w:val="254A456A"/>
    <w:rsid w:val="25553977"/>
    <w:rsid w:val="25A62424"/>
    <w:rsid w:val="25AB1D5F"/>
    <w:rsid w:val="25C26B32"/>
    <w:rsid w:val="25D02745"/>
    <w:rsid w:val="260727D5"/>
    <w:rsid w:val="261E020C"/>
    <w:rsid w:val="263A2B6C"/>
    <w:rsid w:val="265F5362"/>
    <w:rsid w:val="26C37006"/>
    <w:rsid w:val="26C42A8D"/>
    <w:rsid w:val="26DB3A2D"/>
    <w:rsid w:val="26EA6BD6"/>
    <w:rsid w:val="26F3120E"/>
    <w:rsid w:val="27166D4B"/>
    <w:rsid w:val="27216543"/>
    <w:rsid w:val="27265207"/>
    <w:rsid w:val="272F6AF6"/>
    <w:rsid w:val="27343A60"/>
    <w:rsid w:val="27505669"/>
    <w:rsid w:val="2795146C"/>
    <w:rsid w:val="27AC7A9A"/>
    <w:rsid w:val="27B76947"/>
    <w:rsid w:val="27C9338B"/>
    <w:rsid w:val="27CD3C15"/>
    <w:rsid w:val="27EE1925"/>
    <w:rsid w:val="27FB3B9B"/>
    <w:rsid w:val="28072D06"/>
    <w:rsid w:val="280D15A6"/>
    <w:rsid w:val="281A2C55"/>
    <w:rsid w:val="284952E9"/>
    <w:rsid w:val="28544C78"/>
    <w:rsid w:val="289678E7"/>
    <w:rsid w:val="289F315B"/>
    <w:rsid w:val="28B60697"/>
    <w:rsid w:val="28BE58E7"/>
    <w:rsid w:val="28CB3F50"/>
    <w:rsid w:val="28DD23EC"/>
    <w:rsid w:val="290218C5"/>
    <w:rsid w:val="29070055"/>
    <w:rsid w:val="29100495"/>
    <w:rsid w:val="293A315C"/>
    <w:rsid w:val="29534671"/>
    <w:rsid w:val="296C128F"/>
    <w:rsid w:val="29783CA4"/>
    <w:rsid w:val="298D62CF"/>
    <w:rsid w:val="29915D76"/>
    <w:rsid w:val="29A32DEA"/>
    <w:rsid w:val="29AC5B2F"/>
    <w:rsid w:val="29D67050"/>
    <w:rsid w:val="29EA7AE0"/>
    <w:rsid w:val="29EE6148"/>
    <w:rsid w:val="29FA689B"/>
    <w:rsid w:val="2A0911D4"/>
    <w:rsid w:val="2A094D30"/>
    <w:rsid w:val="2A495A74"/>
    <w:rsid w:val="2A577222"/>
    <w:rsid w:val="2A87715A"/>
    <w:rsid w:val="2A960237"/>
    <w:rsid w:val="2AB65E30"/>
    <w:rsid w:val="2AD04F43"/>
    <w:rsid w:val="2AD0640E"/>
    <w:rsid w:val="2B011EAB"/>
    <w:rsid w:val="2B162833"/>
    <w:rsid w:val="2B381D70"/>
    <w:rsid w:val="2B430715"/>
    <w:rsid w:val="2B4A75CB"/>
    <w:rsid w:val="2B5779B0"/>
    <w:rsid w:val="2B5C5333"/>
    <w:rsid w:val="2BAD5B8F"/>
    <w:rsid w:val="2BB05DAB"/>
    <w:rsid w:val="2BD42324"/>
    <w:rsid w:val="2BDE5C4B"/>
    <w:rsid w:val="2BF03BB9"/>
    <w:rsid w:val="2C041D15"/>
    <w:rsid w:val="2C1445DD"/>
    <w:rsid w:val="2C424529"/>
    <w:rsid w:val="2C4604BD"/>
    <w:rsid w:val="2C7566AC"/>
    <w:rsid w:val="2C7E7BED"/>
    <w:rsid w:val="2C84501F"/>
    <w:rsid w:val="2C8D7E9A"/>
    <w:rsid w:val="2C972AC7"/>
    <w:rsid w:val="2C9E2E6E"/>
    <w:rsid w:val="2CB27098"/>
    <w:rsid w:val="2CD34435"/>
    <w:rsid w:val="2CDE1AA8"/>
    <w:rsid w:val="2CED3DA5"/>
    <w:rsid w:val="2CFA4E04"/>
    <w:rsid w:val="2D2035A2"/>
    <w:rsid w:val="2D210976"/>
    <w:rsid w:val="2D3E73E6"/>
    <w:rsid w:val="2D492D2B"/>
    <w:rsid w:val="2D5704A8"/>
    <w:rsid w:val="2D6E6990"/>
    <w:rsid w:val="2DB533E3"/>
    <w:rsid w:val="2DC5782B"/>
    <w:rsid w:val="2DD815E9"/>
    <w:rsid w:val="2DD92C6B"/>
    <w:rsid w:val="2DE317D4"/>
    <w:rsid w:val="2DF316F7"/>
    <w:rsid w:val="2E226A50"/>
    <w:rsid w:val="2E3C0A61"/>
    <w:rsid w:val="2E44349D"/>
    <w:rsid w:val="2E4F25A4"/>
    <w:rsid w:val="2E500078"/>
    <w:rsid w:val="2E530C6F"/>
    <w:rsid w:val="2E671600"/>
    <w:rsid w:val="2E70537D"/>
    <w:rsid w:val="2E7061CB"/>
    <w:rsid w:val="2E9005D5"/>
    <w:rsid w:val="2E9D013C"/>
    <w:rsid w:val="2EAB4607"/>
    <w:rsid w:val="2EAC79D1"/>
    <w:rsid w:val="2ED975A3"/>
    <w:rsid w:val="2EDC2A13"/>
    <w:rsid w:val="2F462B76"/>
    <w:rsid w:val="2F555C1B"/>
    <w:rsid w:val="2F6F7D2B"/>
    <w:rsid w:val="2F947791"/>
    <w:rsid w:val="2F9A4F02"/>
    <w:rsid w:val="2FA67554"/>
    <w:rsid w:val="2FC260AC"/>
    <w:rsid w:val="2FE42670"/>
    <w:rsid w:val="300634F7"/>
    <w:rsid w:val="30240B15"/>
    <w:rsid w:val="30281C88"/>
    <w:rsid w:val="304E16EE"/>
    <w:rsid w:val="30583556"/>
    <w:rsid w:val="305E56A9"/>
    <w:rsid w:val="306337C6"/>
    <w:rsid w:val="30646F9D"/>
    <w:rsid w:val="306627E3"/>
    <w:rsid w:val="30763D6E"/>
    <w:rsid w:val="307D0225"/>
    <w:rsid w:val="30841F84"/>
    <w:rsid w:val="30A43A04"/>
    <w:rsid w:val="30A82DAE"/>
    <w:rsid w:val="30C754D6"/>
    <w:rsid w:val="30FD3263"/>
    <w:rsid w:val="310E70CF"/>
    <w:rsid w:val="31126BC0"/>
    <w:rsid w:val="31305298"/>
    <w:rsid w:val="315A40C3"/>
    <w:rsid w:val="315A562B"/>
    <w:rsid w:val="316255FD"/>
    <w:rsid w:val="31A83080"/>
    <w:rsid w:val="31B61C41"/>
    <w:rsid w:val="31BC2E00"/>
    <w:rsid w:val="31DD2470"/>
    <w:rsid w:val="31DD7AF9"/>
    <w:rsid w:val="31FB3AF8"/>
    <w:rsid w:val="32171FB4"/>
    <w:rsid w:val="32290665"/>
    <w:rsid w:val="323B3865"/>
    <w:rsid w:val="323E59E8"/>
    <w:rsid w:val="325447F4"/>
    <w:rsid w:val="3267722A"/>
    <w:rsid w:val="3293276D"/>
    <w:rsid w:val="32BA12BD"/>
    <w:rsid w:val="32C20302"/>
    <w:rsid w:val="32EF4DE9"/>
    <w:rsid w:val="332819AF"/>
    <w:rsid w:val="33341FAF"/>
    <w:rsid w:val="335A2AA0"/>
    <w:rsid w:val="336A2CE3"/>
    <w:rsid w:val="337068B0"/>
    <w:rsid w:val="33863895"/>
    <w:rsid w:val="33922E18"/>
    <w:rsid w:val="33A37FA3"/>
    <w:rsid w:val="33B8592D"/>
    <w:rsid w:val="33F34853"/>
    <w:rsid w:val="33F9568B"/>
    <w:rsid w:val="34056568"/>
    <w:rsid w:val="340D366E"/>
    <w:rsid w:val="341E3ACD"/>
    <w:rsid w:val="34367069"/>
    <w:rsid w:val="345833BB"/>
    <w:rsid w:val="348945DB"/>
    <w:rsid w:val="349F0B4A"/>
    <w:rsid w:val="34E24AFB"/>
    <w:rsid w:val="34E7528F"/>
    <w:rsid w:val="34E8051D"/>
    <w:rsid w:val="34EC76A7"/>
    <w:rsid w:val="350D2628"/>
    <w:rsid w:val="35393530"/>
    <w:rsid w:val="358C3BA0"/>
    <w:rsid w:val="359A7184"/>
    <w:rsid w:val="35B34724"/>
    <w:rsid w:val="35B534DF"/>
    <w:rsid w:val="35DF3F1C"/>
    <w:rsid w:val="35E11256"/>
    <w:rsid w:val="35ED19A9"/>
    <w:rsid w:val="35FA3E2F"/>
    <w:rsid w:val="36013C76"/>
    <w:rsid w:val="36070E9B"/>
    <w:rsid w:val="36127AAB"/>
    <w:rsid w:val="361C0E6E"/>
    <w:rsid w:val="3651018A"/>
    <w:rsid w:val="36BF527D"/>
    <w:rsid w:val="36D36CBC"/>
    <w:rsid w:val="36E8167B"/>
    <w:rsid w:val="36EA6936"/>
    <w:rsid w:val="37117919"/>
    <w:rsid w:val="37215DAE"/>
    <w:rsid w:val="372E2279"/>
    <w:rsid w:val="37371ED0"/>
    <w:rsid w:val="37895702"/>
    <w:rsid w:val="378D6D31"/>
    <w:rsid w:val="37974803"/>
    <w:rsid w:val="37BA1E9A"/>
    <w:rsid w:val="37BA6BAE"/>
    <w:rsid w:val="37C6226E"/>
    <w:rsid w:val="37C77C1E"/>
    <w:rsid w:val="37D179A4"/>
    <w:rsid w:val="37DF3574"/>
    <w:rsid w:val="37EC35F3"/>
    <w:rsid w:val="38042FDA"/>
    <w:rsid w:val="382F2B53"/>
    <w:rsid w:val="383218F5"/>
    <w:rsid w:val="3850559D"/>
    <w:rsid w:val="38910D12"/>
    <w:rsid w:val="38B62526"/>
    <w:rsid w:val="38FC526D"/>
    <w:rsid w:val="38FF3BAA"/>
    <w:rsid w:val="390C7982"/>
    <w:rsid w:val="390D5DCA"/>
    <w:rsid w:val="39382F3B"/>
    <w:rsid w:val="394071DC"/>
    <w:rsid w:val="3949031A"/>
    <w:rsid w:val="39704EA9"/>
    <w:rsid w:val="398443D3"/>
    <w:rsid w:val="399C171C"/>
    <w:rsid w:val="39D215E2"/>
    <w:rsid w:val="39E773C4"/>
    <w:rsid w:val="39FD74D4"/>
    <w:rsid w:val="3A0E2073"/>
    <w:rsid w:val="3A250CD1"/>
    <w:rsid w:val="3A327421"/>
    <w:rsid w:val="3A542910"/>
    <w:rsid w:val="3A737AA8"/>
    <w:rsid w:val="3A8F6959"/>
    <w:rsid w:val="3AA47F40"/>
    <w:rsid w:val="3AB7426C"/>
    <w:rsid w:val="3ACC6031"/>
    <w:rsid w:val="3AD025B6"/>
    <w:rsid w:val="3B137151"/>
    <w:rsid w:val="3B20302C"/>
    <w:rsid w:val="3B36794F"/>
    <w:rsid w:val="3B806E1C"/>
    <w:rsid w:val="3B8E30F3"/>
    <w:rsid w:val="3B911029"/>
    <w:rsid w:val="3B9F2462"/>
    <w:rsid w:val="3BA0301A"/>
    <w:rsid w:val="3BA42B0A"/>
    <w:rsid w:val="3BAF02F6"/>
    <w:rsid w:val="3BBA7CB3"/>
    <w:rsid w:val="3BC92571"/>
    <w:rsid w:val="3BE65A5F"/>
    <w:rsid w:val="3C1557B6"/>
    <w:rsid w:val="3C2211FA"/>
    <w:rsid w:val="3C264B56"/>
    <w:rsid w:val="3C2F4335"/>
    <w:rsid w:val="3C3C71E7"/>
    <w:rsid w:val="3C4F3695"/>
    <w:rsid w:val="3C5A6CBC"/>
    <w:rsid w:val="3C924E8D"/>
    <w:rsid w:val="3C9506A5"/>
    <w:rsid w:val="3C96469A"/>
    <w:rsid w:val="3CBD0327"/>
    <w:rsid w:val="3CE27D8E"/>
    <w:rsid w:val="3CFA5193"/>
    <w:rsid w:val="3D17655F"/>
    <w:rsid w:val="3D211F38"/>
    <w:rsid w:val="3D3879AE"/>
    <w:rsid w:val="3D4F234D"/>
    <w:rsid w:val="3D5F430F"/>
    <w:rsid w:val="3D6267D9"/>
    <w:rsid w:val="3D71031D"/>
    <w:rsid w:val="3DC15BF5"/>
    <w:rsid w:val="3DC456E6"/>
    <w:rsid w:val="3DD31485"/>
    <w:rsid w:val="3DE93370"/>
    <w:rsid w:val="3DED3857"/>
    <w:rsid w:val="3DEE2762"/>
    <w:rsid w:val="3DF42A74"/>
    <w:rsid w:val="3E0E070F"/>
    <w:rsid w:val="3E1D17FE"/>
    <w:rsid w:val="3E3D2DA2"/>
    <w:rsid w:val="3E447DE9"/>
    <w:rsid w:val="3E6A1665"/>
    <w:rsid w:val="3E8B6C00"/>
    <w:rsid w:val="3E967678"/>
    <w:rsid w:val="3EBB45AB"/>
    <w:rsid w:val="3EBD6A03"/>
    <w:rsid w:val="3EDE6333"/>
    <w:rsid w:val="3F1E6F5B"/>
    <w:rsid w:val="3F2326F1"/>
    <w:rsid w:val="3FC91C30"/>
    <w:rsid w:val="3FD77BF7"/>
    <w:rsid w:val="3FDB389E"/>
    <w:rsid w:val="3FE13153"/>
    <w:rsid w:val="404E74E8"/>
    <w:rsid w:val="40523FAA"/>
    <w:rsid w:val="40AE01E3"/>
    <w:rsid w:val="40B530C4"/>
    <w:rsid w:val="40B76E3C"/>
    <w:rsid w:val="40E012FC"/>
    <w:rsid w:val="40E53818"/>
    <w:rsid w:val="40E93688"/>
    <w:rsid w:val="410B53D9"/>
    <w:rsid w:val="413633CC"/>
    <w:rsid w:val="41881A54"/>
    <w:rsid w:val="41BD0482"/>
    <w:rsid w:val="41F910E9"/>
    <w:rsid w:val="42206C63"/>
    <w:rsid w:val="422449A5"/>
    <w:rsid w:val="423A7D24"/>
    <w:rsid w:val="42415557"/>
    <w:rsid w:val="42996A57"/>
    <w:rsid w:val="42AD7DB9"/>
    <w:rsid w:val="42D55C9F"/>
    <w:rsid w:val="430622FC"/>
    <w:rsid w:val="43284021"/>
    <w:rsid w:val="433C187A"/>
    <w:rsid w:val="434846C3"/>
    <w:rsid w:val="434C4550"/>
    <w:rsid w:val="43787569"/>
    <w:rsid w:val="438B0671"/>
    <w:rsid w:val="43AA5DF4"/>
    <w:rsid w:val="43B43A3F"/>
    <w:rsid w:val="43B43B06"/>
    <w:rsid w:val="43C77902"/>
    <w:rsid w:val="43D57C4A"/>
    <w:rsid w:val="43E3475B"/>
    <w:rsid w:val="44136CE0"/>
    <w:rsid w:val="4427252A"/>
    <w:rsid w:val="44360414"/>
    <w:rsid w:val="44366FB1"/>
    <w:rsid w:val="4454088F"/>
    <w:rsid w:val="447411D7"/>
    <w:rsid w:val="44A6643B"/>
    <w:rsid w:val="44AE67A8"/>
    <w:rsid w:val="44B96268"/>
    <w:rsid w:val="44BE2E8F"/>
    <w:rsid w:val="44C71617"/>
    <w:rsid w:val="44C935E1"/>
    <w:rsid w:val="44DF4BB3"/>
    <w:rsid w:val="44E26451"/>
    <w:rsid w:val="451F3201"/>
    <w:rsid w:val="457D7503"/>
    <w:rsid w:val="458C5E0F"/>
    <w:rsid w:val="459E2DED"/>
    <w:rsid w:val="45A57BAB"/>
    <w:rsid w:val="45B25BFB"/>
    <w:rsid w:val="45B676A7"/>
    <w:rsid w:val="45D12CBC"/>
    <w:rsid w:val="45E85A95"/>
    <w:rsid w:val="45FF7599"/>
    <w:rsid w:val="46080139"/>
    <w:rsid w:val="462A00B0"/>
    <w:rsid w:val="462F738F"/>
    <w:rsid w:val="464545CC"/>
    <w:rsid w:val="46807E70"/>
    <w:rsid w:val="4683416D"/>
    <w:rsid w:val="46860C43"/>
    <w:rsid w:val="468A6DA0"/>
    <w:rsid w:val="46BF5523"/>
    <w:rsid w:val="472B6D39"/>
    <w:rsid w:val="47541888"/>
    <w:rsid w:val="475C073D"/>
    <w:rsid w:val="47631ACB"/>
    <w:rsid w:val="476615BC"/>
    <w:rsid w:val="476C012D"/>
    <w:rsid w:val="478202B2"/>
    <w:rsid w:val="47A002E9"/>
    <w:rsid w:val="47A4404E"/>
    <w:rsid w:val="47F40975"/>
    <w:rsid w:val="48052B82"/>
    <w:rsid w:val="481B23A6"/>
    <w:rsid w:val="482963CC"/>
    <w:rsid w:val="4852279F"/>
    <w:rsid w:val="48594C7C"/>
    <w:rsid w:val="4882013D"/>
    <w:rsid w:val="48954F0F"/>
    <w:rsid w:val="489850AD"/>
    <w:rsid w:val="48DF19D8"/>
    <w:rsid w:val="48E33F0F"/>
    <w:rsid w:val="495B32B6"/>
    <w:rsid w:val="496E4757"/>
    <w:rsid w:val="49715467"/>
    <w:rsid w:val="497E5577"/>
    <w:rsid w:val="49A2565E"/>
    <w:rsid w:val="49C36AE6"/>
    <w:rsid w:val="49EB02DD"/>
    <w:rsid w:val="49F26BA3"/>
    <w:rsid w:val="4A075AFE"/>
    <w:rsid w:val="4A2E603A"/>
    <w:rsid w:val="4A82670C"/>
    <w:rsid w:val="4A85116A"/>
    <w:rsid w:val="4AAE12AF"/>
    <w:rsid w:val="4ACB4727"/>
    <w:rsid w:val="4ADF2A7D"/>
    <w:rsid w:val="4AE1177E"/>
    <w:rsid w:val="4AF518C6"/>
    <w:rsid w:val="4B101F6A"/>
    <w:rsid w:val="4B157580"/>
    <w:rsid w:val="4B1D7DDB"/>
    <w:rsid w:val="4B395ABD"/>
    <w:rsid w:val="4B4056DC"/>
    <w:rsid w:val="4B490FD8"/>
    <w:rsid w:val="4B732EE9"/>
    <w:rsid w:val="4B9A4FB5"/>
    <w:rsid w:val="4BCA4284"/>
    <w:rsid w:val="4BD21262"/>
    <w:rsid w:val="4BFE6267"/>
    <w:rsid w:val="4C325F10"/>
    <w:rsid w:val="4C367268"/>
    <w:rsid w:val="4C627CDE"/>
    <w:rsid w:val="4C6520EF"/>
    <w:rsid w:val="4C7E1155"/>
    <w:rsid w:val="4C98546D"/>
    <w:rsid w:val="4C9D528B"/>
    <w:rsid w:val="4C9D782D"/>
    <w:rsid w:val="4CAC7A71"/>
    <w:rsid w:val="4CB66B7F"/>
    <w:rsid w:val="4CD540E0"/>
    <w:rsid w:val="4CE6373E"/>
    <w:rsid w:val="4CE75EDA"/>
    <w:rsid w:val="4D241A96"/>
    <w:rsid w:val="4D5203B3"/>
    <w:rsid w:val="4D553DB6"/>
    <w:rsid w:val="4DA12E63"/>
    <w:rsid w:val="4DA150FB"/>
    <w:rsid w:val="4DB07878"/>
    <w:rsid w:val="4DBE3EFF"/>
    <w:rsid w:val="4DEC1A5B"/>
    <w:rsid w:val="4DED0341"/>
    <w:rsid w:val="4E141D71"/>
    <w:rsid w:val="4E1C1D74"/>
    <w:rsid w:val="4E3316F2"/>
    <w:rsid w:val="4E52289A"/>
    <w:rsid w:val="4E796C5D"/>
    <w:rsid w:val="4EA54AF9"/>
    <w:rsid w:val="4F021BCA"/>
    <w:rsid w:val="4F2E29BF"/>
    <w:rsid w:val="4F6E4F05"/>
    <w:rsid w:val="4F7A0475"/>
    <w:rsid w:val="4FA008AE"/>
    <w:rsid w:val="4FA537A4"/>
    <w:rsid w:val="4FA97833"/>
    <w:rsid w:val="4FD55DA9"/>
    <w:rsid w:val="4FFF5D0F"/>
    <w:rsid w:val="50190D95"/>
    <w:rsid w:val="50286274"/>
    <w:rsid w:val="5052092F"/>
    <w:rsid w:val="506F429D"/>
    <w:rsid w:val="506F7733"/>
    <w:rsid w:val="507C51FF"/>
    <w:rsid w:val="5094549B"/>
    <w:rsid w:val="50A309A8"/>
    <w:rsid w:val="50B25872"/>
    <w:rsid w:val="50BB4726"/>
    <w:rsid w:val="50C34129"/>
    <w:rsid w:val="50D47596"/>
    <w:rsid w:val="50EB08FA"/>
    <w:rsid w:val="50F30791"/>
    <w:rsid w:val="51312C3A"/>
    <w:rsid w:val="514445A5"/>
    <w:rsid w:val="51654692"/>
    <w:rsid w:val="51823496"/>
    <w:rsid w:val="51B06F42"/>
    <w:rsid w:val="52003312"/>
    <w:rsid w:val="520127E1"/>
    <w:rsid w:val="523D7334"/>
    <w:rsid w:val="52460F87"/>
    <w:rsid w:val="52862B12"/>
    <w:rsid w:val="52A42543"/>
    <w:rsid w:val="52CB5AB6"/>
    <w:rsid w:val="52DE3965"/>
    <w:rsid w:val="52E964AB"/>
    <w:rsid w:val="530C7C27"/>
    <w:rsid w:val="531219B8"/>
    <w:rsid w:val="5314501A"/>
    <w:rsid w:val="531540B7"/>
    <w:rsid w:val="53202F66"/>
    <w:rsid w:val="538A6632"/>
    <w:rsid w:val="53A93CE3"/>
    <w:rsid w:val="53BD5468"/>
    <w:rsid w:val="53F91620"/>
    <w:rsid w:val="54052ACA"/>
    <w:rsid w:val="540E2DBF"/>
    <w:rsid w:val="54260108"/>
    <w:rsid w:val="54461F42"/>
    <w:rsid w:val="54651AB5"/>
    <w:rsid w:val="547C05FF"/>
    <w:rsid w:val="548968E9"/>
    <w:rsid w:val="54EB550F"/>
    <w:rsid w:val="5503044A"/>
    <w:rsid w:val="552E22DE"/>
    <w:rsid w:val="553367FA"/>
    <w:rsid w:val="55364070"/>
    <w:rsid w:val="55674DDF"/>
    <w:rsid w:val="556E620B"/>
    <w:rsid w:val="55985EE0"/>
    <w:rsid w:val="55A34781"/>
    <w:rsid w:val="55A61974"/>
    <w:rsid w:val="55B372DD"/>
    <w:rsid w:val="55C022D5"/>
    <w:rsid w:val="55F76F37"/>
    <w:rsid w:val="56351E1D"/>
    <w:rsid w:val="563A60ED"/>
    <w:rsid w:val="563C00B7"/>
    <w:rsid w:val="56542264"/>
    <w:rsid w:val="565959E7"/>
    <w:rsid w:val="56692FD1"/>
    <w:rsid w:val="567425EF"/>
    <w:rsid w:val="568472DD"/>
    <w:rsid w:val="56A93270"/>
    <w:rsid w:val="56BD287A"/>
    <w:rsid w:val="56CF5BAD"/>
    <w:rsid w:val="57005737"/>
    <w:rsid w:val="570404A9"/>
    <w:rsid w:val="574B7E86"/>
    <w:rsid w:val="575E31EF"/>
    <w:rsid w:val="576F626A"/>
    <w:rsid w:val="57865B75"/>
    <w:rsid w:val="57CE2F91"/>
    <w:rsid w:val="58580AAD"/>
    <w:rsid w:val="589046EA"/>
    <w:rsid w:val="58913FBE"/>
    <w:rsid w:val="58A126EF"/>
    <w:rsid w:val="58CB5722"/>
    <w:rsid w:val="58FB5091"/>
    <w:rsid w:val="58FC58DC"/>
    <w:rsid w:val="59101557"/>
    <w:rsid w:val="5916278D"/>
    <w:rsid w:val="592A069B"/>
    <w:rsid w:val="593B28A8"/>
    <w:rsid w:val="59611BE3"/>
    <w:rsid w:val="596D2336"/>
    <w:rsid w:val="59743069"/>
    <w:rsid w:val="597D4C6F"/>
    <w:rsid w:val="59AE7089"/>
    <w:rsid w:val="59DA400C"/>
    <w:rsid w:val="5A074538"/>
    <w:rsid w:val="5A3C75BC"/>
    <w:rsid w:val="5A4650DF"/>
    <w:rsid w:val="5A867B53"/>
    <w:rsid w:val="5A9222D8"/>
    <w:rsid w:val="5AA1498D"/>
    <w:rsid w:val="5AC10B8B"/>
    <w:rsid w:val="5ACE32A8"/>
    <w:rsid w:val="5AE147BC"/>
    <w:rsid w:val="5B0D10F8"/>
    <w:rsid w:val="5B1533D9"/>
    <w:rsid w:val="5B5437AD"/>
    <w:rsid w:val="5B8322E4"/>
    <w:rsid w:val="5BB467BD"/>
    <w:rsid w:val="5BB97AB4"/>
    <w:rsid w:val="5BC856AC"/>
    <w:rsid w:val="5BD32898"/>
    <w:rsid w:val="5BEA5EBF"/>
    <w:rsid w:val="5C1E603B"/>
    <w:rsid w:val="5C243CCC"/>
    <w:rsid w:val="5C2634BB"/>
    <w:rsid w:val="5C4C7C00"/>
    <w:rsid w:val="5C6338A6"/>
    <w:rsid w:val="5C85202B"/>
    <w:rsid w:val="5CA93FCD"/>
    <w:rsid w:val="5CB63FF4"/>
    <w:rsid w:val="5CBB055D"/>
    <w:rsid w:val="5CD610AC"/>
    <w:rsid w:val="5CED3EB9"/>
    <w:rsid w:val="5D071CE6"/>
    <w:rsid w:val="5D151246"/>
    <w:rsid w:val="5D2A768A"/>
    <w:rsid w:val="5D3F66DF"/>
    <w:rsid w:val="5D65060F"/>
    <w:rsid w:val="5D964551"/>
    <w:rsid w:val="5DA373AD"/>
    <w:rsid w:val="5DA622BA"/>
    <w:rsid w:val="5DCC143E"/>
    <w:rsid w:val="5DCD57F8"/>
    <w:rsid w:val="5DD11D31"/>
    <w:rsid w:val="5DE057CC"/>
    <w:rsid w:val="5E015742"/>
    <w:rsid w:val="5E1629CC"/>
    <w:rsid w:val="5E2356B9"/>
    <w:rsid w:val="5E287173"/>
    <w:rsid w:val="5E385608"/>
    <w:rsid w:val="5E421FE3"/>
    <w:rsid w:val="5E892B2C"/>
    <w:rsid w:val="5EAF0F3E"/>
    <w:rsid w:val="5ED510A9"/>
    <w:rsid w:val="5EED5D45"/>
    <w:rsid w:val="5EF157B7"/>
    <w:rsid w:val="5EF6506A"/>
    <w:rsid w:val="5EF75FBF"/>
    <w:rsid w:val="5F0C439F"/>
    <w:rsid w:val="5F1C0A86"/>
    <w:rsid w:val="5F2B6677"/>
    <w:rsid w:val="5F346A89"/>
    <w:rsid w:val="5F6940CF"/>
    <w:rsid w:val="5F922AF6"/>
    <w:rsid w:val="5FAF36A8"/>
    <w:rsid w:val="5FC30AB3"/>
    <w:rsid w:val="5FDC1FC3"/>
    <w:rsid w:val="5FE54929"/>
    <w:rsid w:val="5FFE1F39"/>
    <w:rsid w:val="60222ED5"/>
    <w:rsid w:val="60380912"/>
    <w:rsid w:val="608874FF"/>
    <w:rsid w:val="60952DD1"/>
    <w:rsid w:val="6096437F"/>
    <w:rsid w:val="60B93CBC"/>
    <w:rsid w:val="60FB46CB"/>
    <w:rsid w:val="61174B21"/>
    <w:rsid w:val="612B3202"/>
    <w:rsid w:val="613C6951"/>
    <w:rsid w:val="6144155D"/>
    <w:rsid w:val="614B7400"/>
    <w:rsid w:val="614E0C9F"/>
    <w:rsid w:val="616619E8"/>
    <w:rsid w:val="61EC5132"/>
    <w:rsid w:val="6233374C"/>
    <w:rsid w:val="624452BB"/>
    <w:rsid w:val="62553134"/>
    <w:rsid w:val="62C366BA"/>
    <w:rsid w:val="62E55AA2"/>
    <w:rsid w:val="631D0BEE"/>
    <w:rsid w:val="632457E7"/>
    <w:rsid w:val="633D721D"/>
    <w:rsid w:val="63473BF7"/>
    <w:rsid w:val="63495BC1"/>
    <w:rsid w:val="637E2D0B"/>
    <w:rsid w:val="63832093"/>
    <w:rsid w:val="63841957"/>
    <w:rsid w:val="639823F2"/>
    <w:rsid w:val="639B03CD"/>
    <w:rsid w:val="63B55005"/>
    <w:rsid w:val="63BA4E72"/>
    <w:rsid w:val="63BA6ABF"/>
    <w:rsid w:val="63E50CB0"/>
    <w:rsid w:val="64051B22"/>
    <w:rsid w:val="64092246"/>
    <w:rsid w:val="641A0814"/>
    <w:rsid w:val="6424218B"/>
    <w:rsid w:val="643D2685"/>
    <w:rsid w:val="647A1DAB"/>
    <w:rsid w:val="64B12423"/>
    <w:rsid w:val="64E93762"/>
    <w:rsid w:val="64F51645"/>
    <w:rsid w:val="65014496"/>
    <w:rsid w:val="65063AA7"/>
    <w:rsid w:val="65102E3B"/>
    <w:rsid w:val="651B17E0"/>
    <w:rsid w:val="65270184"/>
    <w:rsid w:val="65273883"/>
    <w:rsid w:val="65293D3A"/>
    <w:rsid w:val="65353A6D"/>
    <w:rsid w:val="65AA229D"/>
    <w:rsid w:val="65BD63F3"/>
    <w:rsid w:val="65C634F9"/>
    <w:rsid w:val="65C71020"/>
    <w:rsid w:val="65F870D7"/>
    <w:rsid w:val="66195F86"/>
    <w:rsid w:val="666174DB"/>
    <w:rsid w:val="66B21CD0"/>
    <w:rsid w:val="66CA526B"/>
    <w:rsid w:val="66D71736"/>
    <w:rsid w:val="66EB4E3B"/>
    <w:rsid w:val="66F223B5"/>
    <w:rsid w:val="66F55E9C"/>
    <w:rsid w:val="670859D2"/>
    <w:rsid w:val="672F3CD5"/>
    <w:rsid w:val="675A129D"/>
    <w:rsid w:val="67672A43"/>
    <w:rsid w:val="67876CB8"/>
    <w:rsid w:val="67B90875"/>
    <w:rsid w:val="67C82F52"/>
    <w:rsid w:val="67C9622D"/>
    <w:rsid w:val="67D22629"/>
    <w:rsid w:val="67D73213"/>
    <w:rsid w:val="67DD75A8"/>
    <w:rsid w:val="67DF08A2"/>
    <w:rsid w:val="67F72090"/>
    <w:rsid w:val="68126ECA"/>
    <w:rsid w:val="68182D26"/>
    <w:rsid w:val="68222CAD"/>
    <w:rsid w:val="684B7CA5"/>
    <w:rsid w:val="686B0388"/>
    <w:rsid w:val="686D1B74"/>
    <w:rsid w:val="68701E42"/>
    <w:rsid w:val="688C4E97"/>
    <w:rsid w:val="68C47A98"/>
    <w:rsid w:val="68F62348"/>
    <w:rsid w:val="69203A0B"/>
    <w:rsid w:val="693144D5"/>
    <w:rsid w:val="69A973BA"/>
    <w:rsid w:val="69B33521"/>
    <w:rsid w:val="69B52ACD"/>
    <w:rsid w:val="69BF1914"/>
    <w:rsid w:val="69EE1271"/>
    <w:rsid w:val="69FF2F13"/>
    <w:rsid w:val="6A210560"/>
    <w:rsid w:val="6A294057"/>
    <w:rsid w:val="6A2C3B47"/>
    <w:rsid w:val="6A3E4E02"/>
    <w:rsid w:val="6A9E4A45"/>
    <w:rsid w:val="6AA638F9"/>
    <w:rsid w:val="6AB57FE0"/>
    <w:rsid w:val="6ABB6AA2"/>
    <w:rsid w:val="6ACA6984"/>
    <w:rsid w:val="6AF92E35"/>
    <w:rsid w:val="6AFE552F"/>
    <w:rsid w:val="6B036C42"/>
    <w:rsid w:val="6B08210E"/>
    <w:rsid w:val="6B1F1FAA"/>
    <w:rsid w:val="6B433E60"/>
    <w:rsid w:val="6B5D1205"/>
    <w:rsid w:val="6B734162"/>
    <w:rsid w:val="6B8E2D0B"/>
    <w:rsid w:val="6B9A256C"/>
    <w:rsid w:val="6BA21E46"/>
    <w:rsid w:val="6BBE40EF"/>
    <w:rsid w:val="6BCB51D5"/>
    <w:rsid w:val="6BE851E4"/>
    <w:rsid w:val="6BF40694"/>
    <w:rsid w:val="6BF477DD"/>
    <w:rsid w:val="6C30791F"/>
    <w:rsid w:val="6C3136B5"/>
    <w:rsid w:val="6C5C4BB7"/>
    <w:rsid w:val="6C662237"/>
    <w:rsid w:val="6C67056B"/>
    <w:rsid w:val="6C7740B2"/>
    <w:rsid w:val="6C7E44A0"/>
    <w:rsid w:val="6C7F1295"/>
    <w:rsid w:val="6CB14B29"/>
    <w:rsid w:val="6CC24062"/>
    <w:rsid w:val="6CEF1CA7"/>
    <w:rsid w:val="6CF10E65"/>
    <w:rsid w:val="6D022863"/>
    <w:rsid w:val="6D2A2982"/>
    <w:rsid w:val="6D301BA0"/>
    <w:rsid w:val="6D3368F2"/>
    <w:rsid w:val="6D3451EC"/>
    <w:rsid w:val="6D423E1A"/>
    <w:rsid w:val="6D47333A"/>
    <w:rsid w:val="6D4941BA"/>
    <w:rsid w:val="6D576863"/>
    <w:rsid w:val="6D63353E"/>
    <w:rsid w:val="6D8C327A"/>
    <w:rsid w:val="6DA13D8A"/>
    <w:rsid w:val="6DA57E98"/>
    <w:rsid w:val="6DAE46C1"/>
    <w:rsid w:val="6DB8318D"/>
    <w:rsid w:val="6DBD739B"/>
    <w:rsid w:val="6E0D7632"/>
    <w:rsid w:val="6E0E5A3E"/>
    <w:rsid w:val="6E176DA8"/>
    <w:rsid w:val="6E3A33B0"/>
    <w:rsid w:val="6E3F653F"/>
    <w:rsid w:val="6E4F6056"/>
    <w:rsid w:val="6E5042A8"/>
    <w:rsid w:val="6E6C09B6"/>
    <w:rsid w:val="6E770319"/>
    <w:rsid w:val="6E7C32EF"/>
    <w:rsid w:val="6EF015E7"/>
    <w:rsid w:val="6F08033E"/>
    <w:rsid w:val="6F4753E4"/>
    <w:rsid w:val="6F795A80"/>
    <w:rsid w:val="6F915B8B"/>
    <w:rsid w:val="6F9C0E28"/>
    <w:rsid w:val="6FBB7E47"/>
    <w:rsid w:val="6FDE0239"/>
    <w:rsid w:val="6FDF2E67"/>
    <w:rsid w:val="6FEE064D"/>
    <w:rsid w:val="700A0487"/>
    <w:rsid w:val="703136BE"/>
    <w:rsid w:val="7036571F"/>
    <w:rsid w:val="70420073"/>
    <w:rsid w:val="70800F28"/>
    <w:rsid w:val="70993797"/>
    <w:rsid w:val="70A42689"/>
    <w:rsid w:val="70BB0B07"/>
    <w:rsid w:val="70C9329A"/>
    <w:rsid w:val="70C93DB4"/>
    <w:rsid w:val="70EE4AA2"/>
    <w:rsid w:val="70EE5FFA"/>
    <w:rsid w:val="70FF70F2"/>
    <w:rsid w:val="71147555"/>
    <w:rsid w:val="712437CA"/>
    <w:rsid w:val="713C0B14"/>
    <w:rsid w:val="71492316"/>
    <w:rsid w:val="71535E5D"/>
    <w:rsid w:val="7156348A"/>
    <w:rsid w:val="71697CDD"/>
    <w:rsid w:val="71926B20"/>
    <w:rsid w:val="71F320E9"/>
    <w:rsid w:val="71F413EE"/>
    <w:rsid w:val="72163F2B"/>
    <w:rsid w:val="7230022A"/>
    <w:rsid w:val="728B1D53"/>
    <w:rsid w:val="72936E59"/>
    <w:rsid w:val="729705CF"/>
    <w:rsid w:val="72A5093A"/>
    <w:rsid w:val="72F66E2B"/>
    <w:rsid w:val="730613D9"/>
    <w:rsid w:val="73206542"/>
    <w:rsid w:val="733E7FA3"/>
    <w:rsid w:val="73431959"/>
    <w:rsid w:val="73593BFF"/>
    <w:rsid w:val="735B1691"/>
    <w:rsid w:val="73760C83"/>
    <w:rsid w:val="739D5812"/>
    <w:rsid w:val="73AD74A2"/>
    <w:rsid w:val="73CA68AB"/>
    <w:rsid w:val="73DE2356"/>
    <w:rsid w:val="74273CFD"/>
    <w:rsid w:val="744F5002"/>
    <w:rsid w:val="74562145"/>
    <w:rsid w:val="747D391D"/>
    <w:rsid w:val="74982F9A"/>
    <w:rsid w:val="74A7161D"/>
    <w:rsid w:val="74AE7F7A"/>
    <w:rsid w:val="74B21DF3"/>
    <w:rsid w:val="74DB2A45"/>
    <w:rsid w:val="74E044A9"/>
    <w:rsid w:val="74FF4B63"/>
    <w:rsid w:val="755F4997"/>
    <w:rsid w:val="758C3ABE"/>
    <w:rsid w:val="75CE1F56"/>
    <w:rsid w:val="75D51537"/>
    <w:rsid w:val="763F54E1"/>
    <w:rsid w:val="765468FF"/>
    <w:rsid w:val="766E39D9"/>
    <w:rsid w:val="767F2D6E"/>
    <w:rsid w:val="768216BE"/>
    <w:rsid w:val="76994F1B"/>
    <w:rsid w:val="76AA29C3"/>
    <w:rsid w:val="77017EB4"/>
    <w:rsid w:val="770B4D24"/>
    <w:rsid w:val="777234E1"/>
    <w:rsid w:val="777A133C"/>
    <w:rsid w:val="77870A4C"/>
    <w:rsid w:val="7787297F"/>
    <w:rsid w:val="778B764A"/>
    <w:rsid w:val="7792346F"/>
    <w:rsid w:val="77E257F6"/>
    <w:rsid w:val="77F27BDF"/>
    <w:rsid w:val="77F707B0"/>
    <w:rsid w:val="78567A61"/>
    <w:rsid w:val="7866354D"/>
    <w:rsid w:val="78665AAB"/>
    <w:rsid w:val="788133E3"/>
    <w:rsid w:val="789E0306"/>
    <w:rsid w:val="78AF187F"/>
    <w:rsid w:val="78CA37DC"/>
    <w:rsid w:val="78CD6AE5"/>
    <w:rsid w:val="79224A93"/>
    <w:rsid w:val="795D502D"/>
    <w:rsid w:val="7978006B"/>
    <w:rsid w:val="7988401F"/>
    <w:rsid w:val="799F326C"/>
    <w:rsid w:val="79A731EA"/>
    <w:rsid w:val="79BA7BCC"/>
    <w:rsid w:val="79ED1E45"/>
    <w:rsid w:val="79F24465"/>
    <w:rsid w:val="7A0B10C4"/>
    <w:rsid w:val="7A13798E"/>
    <w:rsid w:val="7A3055FD"/>
    <w:rsid w:val="7A326F58"/>
    <w:rsid w:val="7A466985"/>
    <w:rsid w:val="7A761E52"/>
    <w:rsid w:val="7A7945BD"/>
    <w:rsid w:val="7AA02320"/>
    <w:rsid w:val="7AAE7AED"/>
    <w:rsid w:val="7AB23000"/>
    <w:rsid w:val="7AE901C2"/>
    <w:rsid w:val="7B133AD1"/>
    <w:rsid w:val="7B152B01"/>
    <w:rsid w:val="7B1D5512"/>
    <w:rsid w:val="7B1E7754"/>
    <w:rsid w:val="7B2014A6"/>
    <w:rsid w:val="7B5F3D8D"/>
    <w:rsid w:val="7BA23C69"/>
    <w:rsid w:val="7BDE10E2"/>
    <w:rsid w:val="7BEC4E7D"/>
    <w:rsid w:val="7BFD4740"/>
    <w:rsid w:val="7C362E56"/>
    <w:rsid w:val="7C3E1BE4"/>
    <w:rsid w:val="7C485E02"/>
    <w:rsid w:val="7C4D776D"/>
    <w:rsid w:val="7C571ADE"/>
    <w:rsid w:val="7C5807CC"/>
    <w:rsid w:val="7C6D24C9"/>
    <w:rsid w:val="7C7E7E13"/>
    <w:rsid w:val="7C964247"/>
    <w:rsid w:val="7CCA22B5"/>
    <w:rsid w:val="7CED360A"/>
    <w:rsid w:val="7D324C54"/>
    <w:rsid w:val="7D3851DF"/>
    <w:rsid w:val="7D3D58E1"/>
    <w:rsid w:val="7D88533C"/>
    <w:rsid w:val="7DA236CC"/>
    <w:rsid w:val="7DBE16B8"/>
    <w:rsid w:val="7DCC1471"/>
    <w:rsid w:val="7E1C41A7"/>
    <w:rsid w:val="7E2272E3"/>
    <w:rsid w:val="7E2F510B"/>
    <w:rsid w:val="7E81225C"/>
    <w:rsid w:val="7EA35E15"/>
    <w:rsid w:val="7EC25700"/>
    <w:rsid w:val="7ED700CE"/>
    <w:rsid w:val="7ED754C3"/>
    <w:rsid w:val="7EDB4904"/>
    <w:rsid w:val="7EFC3BEB"/>
    <w:rsid w:val="7F121106"/>
    <w:rsid w:val="7F185F3D"/>
    <w:rsid w:val="7F1906E6"/>
    <w:rsid w:val="7F192B90"/>
    <w:rsid w:val="7F233313"/>
    <w:rsid w:val="7F3E3C0E"/>
    <w:rsid w:val="7F475253"/>
    <w:rsid w:val="7F6A0F42"/>
    <w:rsid w:val="7F842003"/>
    <w:rsid w:val="7F853FCE"/>
    <w:rsid w:val="7F92418F"/>
    <w:rsid w:val="7F9C7A27"/>
    <w:rsid w:val="7FA024F9"/>
    <w:rsid w:val="7FA11E2C"/>
    <w:rsid w:val="7FAA1008"/>
    <w:rsid w:val="7FBB354B"/>
    <w:rsid w:val="7FBD7FC1"/>
    <w:rsid w:val="7FC66CD0"/>
    <w:rsid w:val="7FCBE618"/>
    <w:rsid w:val="7FDA2CBE"/>
    <w:rsid w:val="7FE15F52"/>
    <w:rsid w:val="7FEFF353"/>
    <w:rsid w:val="7FF928E1"/>
    <w:rsid w:val="ABEFF699"/>
    <w:rsid w:val="B6F7F55A"/>
    <w:rsid w:val="BBDB0DEE"/>
    <w:rsid w:val="BFF65BC9"/>
    <w:rsid w:val="CFE77C88"/>
    <w:rsid w:val="D5BED4AE"/>
    <w:rsid w:val="E7762A24"/>
    <w:rsid w:val="F6E33D82"/>
    <w:rsid w:val="FFEF8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12"/>
    <w:qFormat/>
    <w:uiPriority w:val="0"/>
    <w:pPr>
      <w:keepNext/>
      <w:keepLines/>
      <w:spacing w:after="240" w:line="240" w:lineRule="auto"/>
      <w:ind w:firstLine="0" w:firstLineChars="0"/>
      <w:jc w:val="center"/>
      <w:outlineLvl w:val="0"/>
    </w:pPr>
    <w:rPr>
      <w:rFonts w:eastAsia="黑体"/>
      <w:b/>
      <w:kern w:val="44"/>
      <w:sz w:val="32"/>
    </w:rPr>
  </w:style>
  <w:style w:type="paragraph" w:styleId="3">
    <w:name w:val="heading 2"/>
    <w:basedOn w:val="1"/>
    <w:next w:val="1"/>
    <w:unhideWhenUsed/>
    <w:qFormat/>
    <w:uiPriority w:val="0"/>
    <w:pPr>
      <w:keepNext/>
      <w:keepLines/>
      <w:ind w:firstLine="0" w:firstLineChars="0"/>
      <w:jc w:val="center"/>
      <w:outlineLvl w:val="1"/>
    </w:pPr>
    <w:rPr>
      <w:b/>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toc 1"/>
    <w:basedOn w:val="1"/>
    <w:next w:val="1"/>
    <w:qFormat/>
    <w:uiPriority w:val="39"/>
  </w:style>
  <w:style w:type="paragraph" w:styleId="5">
    <w:name w:val="toc 2"/>
    <w:basedOn w:val="1"/>
    <w:next w:val="1"/>
    <w:qFormat/>
    <w:uiPriority w:val="39"/>
    <w:pPr>
      <w:ind w:left="420" w:leftChars="2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563C1" w:themeColor="hyperlink"/>
      <w:u w:val="single"/>
      <w14:textFill>
        <w14:solidFill>
          <w14:schemeClr w14:val="hlink"/>
        </w14:solidFill>
      </w14:textFill>
    </w:rPr>
  </w:style>
  <w:style w:type="paragraph" w:customStyle="1" w:styleId="10">
    <w:name w:val="图表"/>
    <w:basedOn w:val="1"/>
    <w:link w:val="11"/>
    <w:qFormat/>
    <w:uiPriority w:val="0"/>
    <w:pPr>
      <w:spacing w:line="240" w:lineRule="auto"/>
      <w:jc w:val="center"/>
    </w:pPr>
    <w:rPr>
      <w:sz w:val="21"/>
    </w:rPr>
  </w:style>
  <w:style w:type="character" w:customStyle="1" w:styleId="11">
    <w:name w:val="图表 Char"/>
    <w:link w:val="10"/>
    <w:qFormat/>
    <w:uiPriority w:val="0"/>
    <w:rPr>
      <w:rFonts w:ascii="Times New Roman" w:hAnsi="Times New Roman" w:eastAsia="宋体"/>
      <w:sz w:val="21"/>
    </w:rPr>
  </w:style>
  <w:style w:type="character" w:customStyle="1" w:styleId="12">
    <w:name w:val="标题 1 Char"/>
    <w:link w:val="2"/>
    <w:qFormat/>
    <w:uiPriority w:val="0"/>
    <w:rPr>
      <w:rFonts w:eastAsia="黑体"/>
      <w:b/>
      <w:kern w:val="44"/>
      <w:sz w:val="32"/>
    </w:rPr>
  </w:style>
  <w:style w:type="paragraph" w:customStyle="1" w:styleId="13">
    <w:name w:val="图表标题"/>
    <w:basedOn w:val="1"/>
    <w:qFormat/>
    <w:uiPriority w:val="0"/>
    <w:pPr>
      <w:spacing w:line="240" w:lineRule="auto"/>
      <w:ind w:firstLine="0" w:firstLineChars="0"/>
      <w:jc w:val="center"/>
    </w:pPr>
    <w:rPr>
      <w:rFonts w:eastAsia="黑体"/>
      <w:sz w:val="21"/>
    </w:rPr>
  </w:style>
  <w:style w:type="paragraph" w:customStyle="1" w:styleId="14">
    <w:name w:val="图表文字"/>
    <w:basedOn w:val="1"/>
    <w:qFormat/>
    <w:uiPriority w:val="0"/>
    <w:pPr>
      <w:spacing w:line="240" w:lineRule="auto"/>
      <w:ind w:firstLine="0" w:firstLineChars="0"/>
      <w:jc w:val="center"/>
    </w:pPr>
    <w:rPr>
      <w:sz w:val="21"/>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表格"/>
    <w:basedOn w:val="1"/>
    <w:qFormat/>
    <w:uiPriority w:val="0"/>
    <w:pPr>
      <w:spacing w:line="240" w:lineRule="auto"/>
      <w:ind w:firstLine="0" w:firstLineChars="0"/>
    </w:pPr>
    <w:rPr>
      <w:rFonts w:ascii="Times New Roman" w:hAnsi="Times New Roman" w:eastAsia="宋体"/>
      <w:sz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55</Pages>
  <Words>23623</Words>
  <Characters>25356</Characters>
  <Lines>211</Lines>
  <Paragraphs>59</Paragraphs>
  <TotalTime>11</TotalTime>
  <ScaleCrop>false</ScaleCrop>
  <LinksUpToDate>false</LinksUpToDate>
  <CharactersWithSpaces>25587</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2024-05-07T22:18:00Z</dcterms:created>
  <dc:creator>WPS_1544615872</dc:creator>
  <cp:lastModifiedBy>baixin</cp:lastModifiedBy>
  <dcterms:modified xsi:type="dcterms:W3CDTF">2024-10-10T17:12:27Z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8DCE7EE3F28342AC92F1E2E9837028AB_13</vt:lpwstr>
  </property>
</Properties>
</file>