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before="120" w:after="120" w:line="480" w:lineRule="auto"/>
        <w:ind w:firstLine="0" w:firstLineChars="0"/>
        <w:jc w:val="center"/>
        <w:outlineLvl w:val="0"/>
        <w:rPr>
          <w:rFonts w:ascii="仿宋_GB2312" w:hAnsi="Arial"/>
          <w:b/>
          <w:sz w:val="44"/>
          <w:szCs w:val="44"/>
        </w:rPr>
      </w:pPr>
      <w:r>
        <w:rPr>
          <w:rFonts w:hint="eastAsia" w:ascii="仿宋_GB2312" w:hAnsi="Arial"/>
          <w:b/>
          <w:sz w:val="44"/>
          <w:szCs w:val="44"/>
        </w:rPr>
        <w:t>财政项目支出绩效自评报告</w:t>
      </w: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Times New Roman" w:hAnsi="Times New Roman" w:eastAsia="黑体" w:cs="Times New Roman"/>
          <w:b/>
          <w:kern w:val="0"/>
          <w:sz w:val="50"/>
          <w:szCs w:val="50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0"/>
          <w:szCs w:val="30"/>
        </w:rPr>
      </w:pP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项目名称：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退役士兵安置期间生活补助及保险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项目单位：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</w:t>
      </w:r>
    </w:p>
    <w:p>
      <w:pPr>
        <w:spacing w:line="480" w:lineRule="auto"/>
        <w:ind w:left="1680" w:firstLine="420" w:firstLineChars="0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hint="eastAsia" w:ascii="仿宋_GB2312" w:hAnsi="Times New Roman" w:cs="Times New Roman"/>
          <w:kern w:val="0"/>
          <w:sz w:val="32"/>
          <w:szCs w:val="32"/>
        </w:rPr>
        <w:t>主管部门：</w:t>
      </w:r>
      <w:r>
        <w:rPr>
          <w:rFonts w:ascii="仿宋_GB2312" w:hAnsi="Times New Roman" w:cs="Times New Roman"/>
          <w:kern w:val="0"/>
          <w:sz w:val="32"/>
          <w:szCs w:val="32"/>
        </w:rPr>
        <w:t xml:space="preserve"> </w:t>
      </w:r>
      <w:r>
        <w:rPr>
          <w:rFonts w:ascii="仿宋_GB2312" w:hAnsi="仿宋_GB2312" w:eastAsia="仿宋_GB2312" w:cs="仿宋_GB2312"/>
          <w:color w:val="auto"/>
          <w:sz w:val="32"/>
          <w:u w:val="none"/>
        </w:rPr>
        <w:t>古县退役军人事务局-212001</w:t>
      </w: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rPr>
          <w:rFonts w:ascii="黑体" w:hAnsi="Times New Roman" w:eastAsia="黑体" w:cs="Times New Roman"/>
          <w:b/>
          <w:kern w:val="0"/>
          <w:sz w:val="32"/>
          <w:szCs w:val="32"/>
        </w:rPr>
      </w:pPr>
    </w:p>
    <w:p>
      <w:pPr>
        <w:spacing w:line="480" w:lineRule="auto"/>
        <w:ind w:firstLine="0" w:firstLineChars="0"/>
        <w:jc w:val="center"/>
        <w:rPr>
          <w:rFonts w:ascii="仿宋_GB2312" w:hAnsi="Times New Roman" w:cs="Times New Roman"/>
          <w:kern w:val="0"/>
          <w:sz w:val="32"/>
          <w:szCs w:val="32"/>
        </w:rPr>
      </w:pPr>
      <w:r>
        <w:rPr>
          <w:rFonts w:ascii="仿宋_GB2312" w:hAnsi="Times New Roman" w:cs="Times New Roman"/>
          <w:kern w:val="0"/>
          <w:sz w:val="32"/>
          <w:szCs w:val="32"/>
        </w:rPr>
        <w:t>2022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年</w:t>
      </w:r>
      <w:r>
        <w:rPr>
          <w:rFonts w:ascii="仿宋_GB2312" w:hAnsi="Times New Roman" w:cs="Times New Roman"/>
          <w:kern w:val="0"/>
          <w:sz w:val="32"/>
          <w:szCs w:val="32"/>
        </w:rPr>
        <w:t>2</w:t>
      </w:r>
      <w:r>
        <w:rPr>
          <w:rFonts w:hint="eastAsia" w:ascii="仿宋_GB2312" w:hAnsi="Times New Roman" w:cs="Times New Roman"/>
          <w:kern w:val="0"/>
          <w:sz w:val="32"/>
          <w:szCs w:val="32"/>
        </w:rPr>
        <w:t>月</w:t>
      </w:r>
    </w:p>
    <w:p>
      <w:pPr>
        <w:pStyle w:val="18"/>
        <w:tabs>
          <w:tab w:val="right" w:leader="dot" w:pos="8296"/>
        </w:tabs>
        <w:ind w:firstLine="440" w:firstLineChars="137"/>
      </w:pPr>
      <w:r>
        <w:rPr>
          <w:rFonts w:ascii="仿宋_GB2312" w:hAnsi="Times New Roman" w:cs="Times New Roman"/>
          <w:kern w:val="0"/>
          <w:sz w:val="32"/>
          <w:szCs w:val="32"/>
        </w:rPr>
        <w:br w:type="page"/>
      </w:r>
      <w:r>
        <w:rPr>
          <w:szCs w:val="44"/>
        </w:rPr>
        <w:fldChar w:fldCharType="begin"/>
      </w:r>
      <w:r>
        <w:rPr>
          <w:szCs w:val="44"/>
        </w:rPr>
        <w:instrText xml:space="preserve"> TOC \o "1-4" \f </w:instrText>
      </w:r>
      <w:r>
        <w:rPr>
          <w:szCs w:val="44"/>
        </w:rPr>
        <w:fldChar w:fldCharType="separate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一、项目的基本情况</w:t>
      </w:r>
      <w:r>
        <w:tab/>
      </w:r>
      <w:r>
        <w:fldChar w:fldCharType="begin"/>
      </w:r>
      <w:r>
        <w:instrText xml:space="preserve"> PAGEREF _Toc61505636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（一）项目概况</w:t>
      </w:r>
      <w:r>
        <w:tab/>
      </w:r>
      <w:r>
        <w:fldChar w:fldCharType="begin"/>
      </w:r>
      <w:r>
        <w:instrText xml:space="preserve"> PAGEREF _Toc61505637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（二）预算执行情况</w:t>
      </w:r>
      <w:r>
        <w:tab/>
      </w:r>
      <w:r>
        <w:fldChar w:fldCharType="begin"/>
      </w:r>
      <w:r>
        <w:instrText xml:space="preserve"> PAGEREF _Toc61505638 \h </w:instrText>
      </w:r>
      <w:r>
        <w:fldChar w:fldCharType="separate"/>
      </w:r>
      <w:r>
        <w:t>3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（三）项目绩效目标</w:t>
      </w:r>
      <w:r>
        <w:tab/>
      </w:r>
      <w:r>
        <w:fldChar w:fldCharType="begin"/>
      </w:r>
      <w:r>
        <w:instrText xml:space="preserve"> PAGEREF _Toc61505639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（四）项目实施计划</w:t>
      </w:r>
      <w:r>
        <w:tab/>
      </w:r>
      <w:r>
        <w:fldChar w:fldCharType="begin"/>
      </w:r>
      <w:r>
        <w:instrText xml:space="preserve"> PAGEREF _Toc61505640 \h </w:instrText>
      </w:r>
      <w:r>
        <w:fldChar w:fldCharType="separate"/>
      </w:r>
      <w:r>
        <w:t>4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二、项目绩效情况</w:t>
      </w:r>
      <w:r>
        <w:tab/>
      </w:r>
      <w:r>
        <w:fldChar w:fldCharType="begin"/>
      </w:r>
      <w:r>
        <w:instrText xml:space="preserve"> PAGEREF _Toc61505641 \h </w:instrText>
      </w:r>
      <w:r>
        <w:fldChar w:fldCharType="separate"/>
      </w:r>
      <w:r>
        <w:t>4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（一）预算执行情况</w:t>
      </w:r>
      <w:r>
        <w:tab/>
      </w:r>
      <w:r>
        <w:fldChar w:fldCharType="begin"/>
      </w:r>
      <w:r>
        <w:instrText xml:space="preserve"> PAGEREF _Toc61505642 \h </w:instrText>
      </w:r>
      <w:r>
        <w:fldChar w:fldCharType="separate"/>
      </w:r>
      <w:r>
        <w:t>5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（二）项目产出情况</w:t>
      </w:r>
      <w:r>
        <w:tab/>
      </w:r>
      <w:r>
        <w:fldChar w:fldCharType="begin"/>
      </w:r>
      <w:r>
        <w:instrText xml:space="preserve"> PAGEREF _Toc61505643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（三）项目效益情况</w:t>
      </w:r>
      <w:r>
        <w:tab/>
      </w:r>
      <w:r>
        <w:fldChar w:fldCharType="begin"/>
      </w:r>
      <w:r>
        <w:instrText xml:space="preserve"> PAGEREF _Toc61505644 \h </w:instrText>
      </w:r>
      <w:r>
        <w:fldChar w:fldCharType="separate"/>
      </w:r>
      <w:r>
        <w:t>6</w:t>
      </w:r>
      <w:r>
        <w:fldChar w:fldCharType="end"/>
      </w:r>
    </w:p>
    <w:p>
      <w:pPr>
        <w:pStyle w:val="21"/>
        <w:tabs>
          <w:tab w:val="right" w:leader="dot" w:pos="8296"/>
        </w:tabs>
        <w:ind w:firstLine="400"/>
        <w:rPr>
          <w:rFonts w:ascii="等线" w:hAnsi="等线" w:eastAsia="等线" w:cs="Times New Roman"/>
          <w:smallCaps w:val="0"/>
          <w:sz w:val="21"/>
          <w:szCs w:val="22"/>
        </w:rPr>
      </w:pPr>
      <w:r>
        <w:rPr>
          <w:rFonts w:hint="eastAsia"/>
        </w:rPr>
        <w:t>（四）项目满意度情况</w:t>
      </w:r>
      <w:r>
        <w:tab/>
      </w:r>
      <w:r>
        <w:fldChar w:fldCharType="begin"/>
      </w:r>
      <w:r>
        <w:instrText xml:space="preserve"> PAGEREF _Toc61505645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三、项目绩效分析</w:t>
      </w:r>
      <w:r>
        <w:tab/>
      </w:r>
      <w:r>
        <w:fldChar w:fldCharType="begin"/>
      </w:r>
      <w:r>
        <w:instrText xml:space="preserve"> PAGEREF _Toc61505646 \h </w:instrText>
      </w:r>
      <w:r>
        <w:fldChar w:fldCharType="separate"/>
      </w:r>
      <w:r>
        <w:t>7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四、项目主要经验做法</w:t>
      </w:r>
      <w:r>
        <w:tab/>
      </w:r>
      <w:r>
        <w:fldChar w:fldCharType="begin"/>
      </w:r>
      <w:r>
        <w:instrText xml:space="preserve"> PAGEREF _Toc61505647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五、项目管理中存在问题及原因分析</w:t>
      </w:r>
      <w:r>
        <w:tab/>
      </w:r>
      <w:r>
        <w:fldChar w:fldCharType="begin"/>
      </w:r>
      <w:r>
        <w:instrText xml:space="preserve"> PAGEREF _Toc61505648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六、进一步加强项目管理措施及建议</w:t>
      </w:r>
      <w:r>
        <w:tab/>
      </w:r>
      <w:r>
        <w:fldChar w:fldCharType="begin"/>
      </w:r>
      <w:r>
        <w:instrText xml:space="preserve"> PAGEREF _Toc61505649 \h </w:instrText>
      </w:r>
      <w:r>
        <w:fldChar w:fldCharType="separate"/>
      </w:r>
      <w:r>
        <w:t>8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1.</w:t>
      </w:r>
      <w:r>
        <w:rPr>
          <w:rFonts w:hint="eastAsia" w:ascii="仿宋" w:hAnsi="仿宋" w:eastAsia="仿宋" w:cs="仿宋"/>
          <w:bCs w:val="0"/>
        </w:rPr>
        <w:t>项目支出绩效自评表</w:t>
      </w:r>
      <w:r>
        <w:tab/>
      </w:r>
      <w:r>
        <w:fldChar w:fldCharType="begin"/>
      </w:r>
      <w:r>
        <w:instrText xml:space="preserve"> PAGEREF _Toc61505650 \h </w:instrText>
      </w:r>
      <w:r>
        <w:fldChar w:fldCharType="separate"/>
      </w:r>
      <w:r>
        <w:t>10</w:t>
      </w:r>
      <w:r>
        <w:fldChar w:fldCharType="end"/>
      </w:r>
    </w:p>
    <w:p>
      <w:pPr>
        <w:pStyle w:val="18"/>
        <w:tabs>
          <w:tab w:val="right" w:leader="dot" w:pos="8296"/>
        </w:tabs>
        <w:ind w:firstLine="402"/>
        <w:rPr>
          <w:rFonts w:ascii="等线" w:hAnsi="等线" w:eastAsia="等线" w:cs="Times New Roman"/>
          <w:b w:val="0"/>
          <w:bCs w:val="0"/>
          <w:caps w:val="0"/>
          <w:sz w:val="21"/>
          <w:szCs w:val="22"/>
        </w:rPr>
      </w:pPr>
      <w:r>
        <w:rPr>
          <w:rFonts w:hint="eastAsia" w:ascii="仿宋" w:hAnsi="仿宋" w:eastAsia="仿宋" w:cs="仿宋"/>
          <w:bCs w:val="0"/>
        </w:rPr>
        <w:t>附件</w:t>
      </w:r>
      <w:r>
        <w:rPr>
          <w:rFonts w:ascii="仿宋" w:hAnsi="仿宋" w:eastAsia="仿宋" w:cs="仿宋"/>
          <w:bCs w:val="0"/>
        </w:rPr>
        <w:t>2.</w:t>
      </w:r>
      <w:r>
        <w:rPr>
          <w:rFonts w:hint="eastAsia" w:ascii="仿宋" w:hAnsi="仿宋" w:eastAsia="仿宋" w:cs="仿宋"/>
          <w:bCs w:val="0"/>
        </w:rPr>
        <w:t>绩效自评相关资料</w:t>
      </w:r>
      <w:r>
        <w:tab/>
      </w:r>
      <w:r>
        <w:fldChar w:fldCharType="begin"/>
      </w:r>
      <w:r>
        <w:instrText xml:space="preserve"> PAGEREF _Toc61505651 \h </w:instrText>
      </w:r>
      <w:r>
        <w:fldChar w:fldCharType="separate"/>
      </w:r>
      <w:r>
        <w:t>11</w:t>
      </w:r>
      <w:r>
        <w:fldChar w:fldCharType="end"/>
      </w:r>
    </w:p>
    <w:p>
      <w:pPr>
        <w:tabs>
          <w:tab w:val="left" w:pos="620"/>
        </w:tabs>
        <w:ind w:firstLine="0" w:firstLineChars="0"/>
        <w:rPr>
          <w:szCs w:val="44"/>
        </w:rPr>
      </w:pPr>
      <w:r>
        <w:rPr>
          <w:szCs w:val="44"/>
        </w:rPr>
        <w:fldChar w:fldCharType="end"/>
      </w:r>
      <w:r>
        <w:rPr>
          <w:szCs w:val="44"/>
        </w:rPr>
        <w:tab/>
      </w: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</w:pPr>
    </w:p>
    <w:p>
      <w:pPr>
        <w:ind w:firstLine="560"/>
        <w:rPr>
          <w:szCs w:val="44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0" w:name="_Toc61505636"/>
      <w:r>
        <w:rPr>
          <w:rFonts w:hint="eastAsia" w:ascii="仿宋" w:hAnsi="仿宋" w:eastAsia="仿宋" w:cs="仿宋"/>
          <w:b/>
          <w:bCs w:val="0"/>
        </w:rPr>
        <w:t>一、项目的基本情况</w:t>
      </w:r>
      <w:bookmarkEnd w:id="0"/>
    </w:p>
    <w:p>
      <w:pPr>
        <w:pStyle w:val="46"/>
        <w:ind w:left="560"/>
      </w:pPr>
      <w:bookmarkStart w:id="1" w:name="_Toc61505637"/>
      <w:r>
        <w:rPr>
          <w:rFonts w:hint="eastAsia"/>
        </w:rPr>
        <w:t>（一）项目概况</w:t>
      </w:r>
      <w:bookmarkEnd w:id="1"/>
    </w:p>
    <w:p>
      <w:pPr>
        <w:pStyle w:val="44"/>
        <w:ind w:left="280" w:firstLine="562"/>
      </w:pPr>
      <w:r>
        <w:rPr>
          <w:rFonts w:hint="eastAsia"/>
          <w:b/>
          <w:bCs/>
        </w:rPr>
        <w:t>项目概况：</w:t>
      </w:r>
      <w:r>
        <w:t>退役士兵待安置期间生活补助及养老，医疗保险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立项依据：</w:t>
      </w:r>
      <w:r>
        <w:t>临退役军人发【2020】62号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设立的必要性：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保证项目实施的措施与制度：</w:t>
      </w:r>
      <w:r>
        <w:t>临退役军人发【2020】62号</w:t>
      </w:r>
    </w:p>
    <w:p>
      <w:pPr>
        <w:pStyle w:val="44"/>
        <w:ind w:left="280" w:firstLine="562"/>
      </w:pPr>
      <w:r>
        <w:rPr>
          <w:rFonts w:hint="eastAsia"/>
          <w:b/>
          <w:bCs/>
        </w:rPr>
        <w:t>项目实施计划：</w:t>
      </w:r>
      <w:r>
        <w:t>提升我市符合政府安排工作条件退役士兵待安置期服务管理水平</w:t>
      </w:r>
    </w:p>
    <w:p>
      <w:pPr>
        <w:widowControl/>
        <w:ind w:firstLine="0" w:firstLineChars="0"/>
        <w:jc w:val="left"/>
        <w:rPr>
          <w:rFonts w:ascii="Times New Roman" w:hAnsi="Times New Roman" w:cs="Times New Roman"/>
          <w:kern w:val="0"/>
          <w:szCs w:val="28"/>
        </w:rPr>
      </w:pPr>
      <w:r>
        <w:br w:type="page"/>
      </w:r>
    </w:p>
    <w:p>
      <w:pPr>
        <w:pStyle w:val="46"/>
        <w:ind w:left="560"/>
      </w:pPr>
      <w:bookmarkStart w:id="2" w:name="_Toc61505638"/>
      <w:r>
        <w:rPr>
          <w:rFonts w:hint="eastAsia"/>
        </w:rPr>
        <w:t>（二）预算执行情况</w:t>
      </w:r>
      <w:bookmarkEnd w:id="2"/>
    </w:p>
    <w:p>
      <w:pPr>
        <w:ind w:firstLine="0" w:firstLineChars="0"/>
        <w:jc w:val="left"/>
        <w:rPr>
          <w:b/>
          <w:szCs w:val="28"/>
        </w:rPr>
      </w:pPr>
    </w:p>
    <w:tbl>
      <w:tblPr>
        <w:tblStyle w:val="24"/>
        <w:tblW w:w="13972" w:type="dxa"/>
        <w:tblInd w:w="172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59"/>
        <w:gridCol w:w="1276"/>
        <w:gridCol w:w="1356"/>
        <w:gridCol w:w="1337"/>
        <w:gridCol w:w="851"/>
        <w:gridCol w:w="850"/>
        <w:gridCol w:w="851"/>
        <w:gridCol w:w="930"/>
        <w:gridCol w:w="2410"/>
        <w:gridCol w:w="2552"/>
      </w:tblGrid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359" w:hRule="atLeast"/>
        </w:trPr>
        <w:tc>
          <w:tcPr>
            <w:tcW w:w="15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项目</w:t>
            </w:r>
          </w:p>
        </w:tc>
        <w:tc>
          <w:tcPr>
            <w:tcW w:w="127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行次</w:t>
            </w:r>
          </w:p>
        </w:tc>
        <w:tc>
          <w:tcPr>
            <w:tcW w:w="1356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年度总金额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(</w:t>
            </w:r>
            <w:r>
              <w:rPr>
                <w:rFonts w:hint="eastAsia" w:ascii="仿宋_GB2312"/>
                <w:b/>
                <w:bCs/>
                <w:kern w:val="0"/>
                <w:sz w:val="24"/>
                <w:szCs w:val="24"/>
              </w:rPr>
              <w:t>万元</w:t>
            </w:r>
            <w:r>
              <w:rPr>
                <w:rFonts w:ascii="仿宋_GB2312"/>
                <w:b/>
                <w:bCs/>
                <w:kern w:val="0"/>
                <w:sz w:val="24"/>
                <w:szCs w:val="24"/>
              </w:rPr>
              <w:t>)</w:t>
            </w:r>
          </w:p>
        </w:tc>
        <w:tc>
          <w:tcPr>
            <w:tcW w:w="4819" w:type="dxa"/>
            <w:gridSpan w:val="5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财政资金</w:t>
            </w:r>
          </w:p>
        </w:tc>
        <w:tc>
          <w:tcPr>
            <w:tcW w:w="2410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上年结转资金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  <w:tc>
          <w:tcPr>
            <w:tcW w:w="2552" w:type="dxa"/>
            <w:vMerge w:val="restart"/>
            <w:tcBorders>
              <w:top w:val="single" w:color="000000" w:sz="6" w:space="0"/>
              <w:left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其他资金</w:t>
            </w:r>
            <w:r>
              <w:rPr>
                <w:b/>
                <w:bCs/>
                <w:kern w:val="0"/>
                <w:sz w:val="21"/>
                <w:szCs w:val="21"/>
              </w:rPr>
              <w:t>(</w:t>
            </w: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万元</w:t>
            </w:r>
            <w:r>
              <w:rPr>
                <w:b/>
                <w:bCs/>
                <w:kern w:val="0"/>
                <w:sz w:val="21"/>
                <w:szCs w:val="21"/>
              </w:rPr>
              <w:t>)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267" w:hRule="atLeast"/>
        </w:trPr>
        <w:tc>
          <w:tcPr>
            <w:tcW w:w="15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solid" w:color="FFFFFF" w:fill="auto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56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337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小计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auto" w:sz="4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中央级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省级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市级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center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县区级</w:t>
            </w:r>
          </w:p>
        </w:tc>
        <w:tc>
          <w:tcPr>
            <w:tcW w:w="2410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2552" w:type="dxa"/>
            <w:vMerge w:val="continue"/>
            <w:tcBorders>
              <w:left w:val="single" w:color="auto" w:sz="4" w:space="0"/>
              <w:bottom w:val="single" w:color="000000" w:sz="6" w:space="0"/>
              <w:right w:val="single" w:color="auto" w:sz="4" w:space="0"/>
            </w:tcBorders>
            <w:shd w:val="clear" w:color="auto" w:fill="95B3D7"/>
            <w:vAlign w:val="center"/>
          </w:tcPr>
          <w:p>
            <w:pPr>
              <w:widowControl/>
              <w:ind w:firstLine="0" w:firstLineChars="0"/>
              <w:jc w:val="right"/>
              <w:rPr>
                <w:rFonts w:ascii="仿宋_GB2312"/>
                <w:b/>
                <w:bCs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年初预算资金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(1)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全年预算资金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实际到位资金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(3)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4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全年执行资金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0.3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0.3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0.3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预算到位率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(6)=(3)/(2)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100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预算执行率(%)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(7)=(4)/(2)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7.5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7.5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7.5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  <w:tr>
        <w:tblPrEx>
          <w:tblLayout w:type="fixed"/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66" w:hRule="atLeast"/>
        </w:trPr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资金结余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(5)=(3)-(4)</w:t>
            </w:r>
          </w:p>
        </w:tc>
        <w:tc>
          <w:tcPr>
            <w:tcW w:w="1356" w:type="dxa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3.7</w:t>
            </w:r>
          </w:p>
        </w:tc>
        <w:tc>
          <w:tcPr>
            <w:tcW w:w="13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3.7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85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9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3.7</w:t>
            </w:r>
          </w:p>
        </w:tc>
        <w:tc>
          <w:tcPr>
            <w:tcW w:w="2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  <w:tc>
          <w:tcPr>
            <w:tcW w:w="25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>
            <w:pPr>
              <w:ind w:firstLine="0" w:firstLineChars="0"/>
              <w:jc w:val="center"/>
              <w:rPr>
                <w:sz w:val="21"/>
              </w:rPr>
            </w:pPr>
            <w:r>
              <w:rPr>
                <w:sz w:val="21"/>
              </w:rPr>
              <w:t>0</w:t>
            </w:r>
          </w:p>
        </w:tc>
      </w:tr>
    </w:tbl>
    <w:p>
      <w:pPr>
        <w:pStyle w:val="46"/>
        <w:ind w:left="560"/>
      </w:pPr>
      <w:bookmarkStart w:id="3" w:name="_Toc61505639"/>
      <w:r>
        <w:rPr>
          <w:rFonts w:hint="eastAsia"/>
        </w:rPr>
        <w:t>（三）项目绩效目标</w:t>
      </w:r>
      <w:bookmarkEnd w:id="3"/>
    </w:p>
    <w:p>
      <w:pPr>
        <w:pStyle w:val="48"/>
        <w:ind w:left="560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项目实施期绩效目标</w:t>
      </w:r>
    </w:p>
    <w:p>
      <w:pPr>
        <w:pStyle w:val="44"/>
        <w:ind w:left="280" w:firstLine="560"/>
      </w:pPr>
      <w:r>
        <w:t>提升我市符合政府安排工作条件退役士兵待安置期服务管理水平</w:t>
      </w:r>
    </w:p>
    <w:p>
      <w:pPr>
        <w:pStyle w:val="44"/>
        <w:ind w:left="280" w:firstLine="560"/>
      </w:pPr>
      <w:r>
        <w:tab/>
      </w:r>
    </w:p>
    <w:p>
      <w:pPr>
        <w:pStyle w:val="48"/>
        <w:ind w:left="560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</w:t>
      </w:r>
      <w:r>
        <w:t xml:space="preserve">. </w:t>
      </w:r>
      <w:r>
        <w:rPr>
          <w:rFonts w:hint="eastAsia"/>
        </w:rPr>
        <w:t>项目年度目标</w:t>
      </w:r>
    </w:p>
    <w:p>
      <w:pPr>
        <w:pStyle w:val="44"/>
        <w:ind w:left="280" w:firstLine="560"/>
      </w:pPr>
      <w:r>
        <w:t>提升我市符合政府安排工作条件退役士兵待安置期服务管理水平</w:t>
      </w:r>
    </w:p>
    <w:p>
      <w:pPr>
        <w:pStyle w:val="44"/>
        <w:ind w:firstLine="560"/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4" w:name="_Toc61505641"/>
      <w:r>
        <w:rPr>
          <w:rFonts w:hint="eastAsia" w:ascii="仿宋" w:hAnsi="仿宋" w:eastAsia="仿宋" w:cs="仿宋"/>
          <w:b/>
          <w:bCs w:val="0"/>
        </w:rPr>
        <w:t>二、项目绩效情况</w:t>
      </w:r>
      <w:bookmarkEnd w:id="4"/>
    </w:p>
    <w:p>
      <w:pPr>
        <w:pStyle w:val="44"/>
        <w:ind w:left="140" w:leftChars="50" w:firstLine="560"/>
      </w:pPr>
      <w:r>
        <w:rPr>
          <w:rFonts w:hint="eastAsia"/>
        </w:rPr>
        <w:t>综合考虑预算执行情况、产出、效益、服务对象满意度各方面因素，通过数据采集及分析，最终评分结果：</w:t>
      </w:r>
      <w:r>
        <w:t>退役士兵安置期间生活补助及保险</w:t>
      </w:r>
      <w:r>
        <w:rPr>
          <w:rFonts w:hint="eastAsia"/>
        </w:rPr>
        <w:t>项目绩效自评价结果为</w:t>
      </w:r>
      <w:r>
        <w:t>:</w:t>
      </w:r>
      <w:r>
        <w:rPr>
          <w:rFonts w:hint="eastAsia"/>
        </w:rPr>
        <w:t>总得分</w:t>
      </w:r>
      <w:r>
        <w:t>100</w:t>
      </w:r>
      <w:r>
        <w:rPr>
          <w:rFonts w:hint="eastAsia"/>
        </w:rPr>
        <w:t>分，属于</w:t>
      </w:r>
      <w:r>
        <w:t>"优秀"</w:t>
      </w:r>
      <w:r>
        <w:rPr>
          <w:rFonts w:hint="eastAsia"/>
        </w:rPr>
        <w:t>。</w:t>
      </w:r>
    </w:p>
    <w:p>
      <w:pPr>
        <w:pStyle w:val="46"/>
        <w:ind w:left="560"/>
      </w:pPr>
      <w:bookmarkStart w:id="5" w:name="_Toc61505642"/>
      <w:r>
        <w:rPr>
          <w:rFonts w:hint="eastAsia"/>
        </w:rPr>
        <w:t>（一）预算执行情况</w:t>
      </w:r>
      <w:bookmarkEnd w:id="5"/>
    </w:p>
    <w:tbl>
      <w:tblPr>
        <w:tblStyle w:val="24"/>
        <w:tblW w:w="883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2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kern w:val="0"/>
                <w:sz w:val="21"/>
                <w:szCs w:val="21"/>
              </w:rPr>
              <w:t>预算执行率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kern w:val="0"/>
                <w:sz w:val="21"/>
                <w:szCs w:val="21"/>
              </w:rPr>
              <w:t>10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46"/>
        <w:ind w:left="560"/>
      </w:pPr>
      <w:bookmarkStart w:id="6" w:name="_Toc61505643"/>
      <w:r>
        <w:rPr>
          <w:rFonts w:hint="eastAsia"/>
        </w:rPr>
        <w:t>（二）项目产出情况</w:t>
      </w:r>
      <w:bookmarkEnd w:id="6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安置军属人数（人）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1人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资金发放准确率（%）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资金发放及时率（%）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7" w:name="_Toc61505644"/>
      <w:r>
        <w:rPr>
          <w:rFonts w:hint="eastAsia"/>
        </w:rPr>
        <w:t>（三）项目效益情况</w:t>
      </w:r>
      <w:bookmarkEnd w:id="7"/>
    </w:p>
    <w:tbl>
      <w:tblPr>
        <w:tblStyle w:val="24"/>
        <w:tblW w:w="852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1594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提高待安置士兵服务管理水平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可持续影响指标</w:t>
            </w:r>
          </w:p>
        </w:tc>
        <w:tc>
          <w:tcPr>
            <w:tcW w:w="159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待安置人员期限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5月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ind w:firstLine="0" w:firstLineChars="0"/>
        <w:rPr>
          <w:szCs w:val="44"/>
        </w:rPr>
      </w:pPr>
    </w:p>
    <w:p>
      <w:pPr>
        <w:pStyle w:val="46"/>
        <w:ind w:left="560"/>
      </w:pPr>
      <w:bookmarkStart w:id="8" w:name="_Toc61505645"/>
      <w:r>
        <w:rPr>
          <w:rFonts w:hint="eastAsia"/>
        </w:rPr>
        <w:t>（四）项目满意度情况</w:t>
      </w:r>
      <w:bookmarkEnd w:id="8"/>
    </w:p>
    <w:tbl>
      <w:tblPr>
        <w:tblStyle w:val="24"/>
        <w:tblW w:w="984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4"/>
        <w:gridCol w:w="2916"/>
        <w:gridCol w:w="1381"/>
        <w:gridCol w:w="1381"/>
        <w:gridCol w:w="1381"/>
        <w:gridCol w:w="1381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二级指标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三级指标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权重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120" w:firstLineChars="5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目标值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业绩值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95B3D7"/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cs="Times New Roman"/>
                <w:b/>
                <w:bCs/>
                <w:kern w:val="0"/>
                <w:sz w:val="24"/>
                <w:szCs w:val="24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291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待安置士兵满意度</w:t>
            </w:r>
          </w:p>
        </w:tc>
        <w:tc>
          <w:tcPr>
            <w:tcW w:w="138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</w:tr>
    </w:tbl>
    <w:p>
      <w:pPr>
        <w:ind w:firstLine="0" w:firstLineChars="0"/>
        <w:rPr>
          <w:szCs w:val="44"/>
        </w:rPr>
      </w:pPr>
    </w:p>
    <w:p>
      <w:pPr>
        <w:widowControl/>
        <w:ind w:firstLine="0" w:firstLineChars="0"/>
        <w:jc w:val="left"/>
        <w:rPr>
          <w:szCs w:val="44"/>
        </w:rPr>
      </w:pPr>
      <w:r>
        <w:rPr>
          <w:szCs w:val="44"/>
        </w:rPr>
        <w:br w:type="page"/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9" w:name="_Toc61505646"/>
      <w:r>
        <w:rPr>
          <w:rFonts w:hint="eastAsia" w:ascii="仿宋" w:hAnsi="仿宋" w:eastAsia="仿宋" w:cs="仿宋"/>
          <w:b/>
          <w:bCs w:val="0"/>
        </w:rPr>
        <w:t>三、</w:t>
      </w:r>
      <w:bookmarkStart w:id="10" w:name="_Toc23655"/>
      <w:bookmarkStart w:id="11" w:name="_Toc17451"/>
      <w:r>
        <w:rPr>
          <w:rFonts w:hint="eastAsia" w:ascii="仿宋" w:hAnsi="仿宋" w:eastAsia="仿宋" w:cs="仿宋"/>
          <w:b/>
          <w:bCs w:val="0"/>
        </w:rPr>
        <w:t>项目绩效分析</w:t>
      </w:r>
      <w:bookmarkEnd w:id="9"/>
      <w:bookmarkEnd w:id="10"/>
      <w:bookmarkEnd w:id="11"/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项目实施和预算执行情况及分析</w:t>
      </w:r>
    </w:p>
    <w:p>
      <w:pPr>
        <w:pStyle w:val="44"/>
        <w:ind w:left="1134" w:leftChars="405" w:firstLine="426" w:firstLineChars="0"/>
        <w:rPr>
          <w:rFonts w:ascii="仿宋_GB2312"/>
          <w:bCs/>
        </w:rPr>
      </w:pPr>
      <w:r>
        <w:rPr>
          <w:rFonts w:hint="eastAsia" w:ascii="仿宋_GB2312"/>
          <w:bCs/>
        </w:rPr>
        <w:t>此项目属于县级资金，申请拨付40000元，已用3000元</w:t>
      </w:r>
    </w:p>
    <w:p>
      <w:pPr>
        <w:pStyle w:val="44"/>
        <w:ind w:left="700" w:leftChars="250" w:firstLine="0" w:firstLineChars="0"/>
        <w:rPr>
          <w:rFonts w:ascii="仿宋_GB2312"/>
          <w:bCs/>
        </w:rPr>
      </w:pP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产出情况及分析</w:t>
      </w:r>
    </w:p>
    <w:p>
      <w:pPr>
        <w:pStyle w:val="44"/>
        <w:ind w:left="0" w:leftChars="0" w:firstLine="1120" w:firstLineChars="400"/>
        <w:rPr>
          <w:rFonts w:hint="eastAsia" w:ascii="仿宋_GB2312"/>
          <w:bCs/>
          <w:lang w:val="en-US" w:eastAsia="zh-CN"/>
        </w:rPr>
      </w:pPr>
      <w:r>
        <w:rPr>
          <w:rFonts w:hint="eastAsia" w:ascii="仿宋_GB2312"/>
          <w:bCs/>
        </w:rPr>
        <w:t>资金发放准确</w:t>
      </w:r>
      <w:r>
        <w:rPr>
          <w:rFonts w:hint="eastAsia" w:ascii="仿宋_GB2312"/>
          <w:bCs/>
          <w:lang w:val="en-US" w:eastAsia="zh-CN"/>
        </w:rPr>
        <w:t>,及时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效益情况及分析</w:t>
      </w:r>
    </w:p>
    <w:p>
      <w:pPr>
        <w:pStyle w:val="44"/>
        <w:ind w:left="0" w:leftChars="0" w:firstLine="1120" w:firstLineChars="400"/>
        <w:rPr>
          <w:rFonts w:hint="eastAsia" w:ascii="仿宋_GB2312"/>
          <w:bCs/>
        </w:rPr>
      </w:pPr>
      <w:r>
        <w:rPr>
          <w:rFonts w:hint="eastAsia" w:ascii="仿宋_GB2312"/>
          <w:bCs/>
        </w:rPr>
        <w:t>提高待安置士兵服务管理水平</w:t>
      </w:r>
    </w:p>
    <w:p>
      <w:pPr>
        <w:pStyle w:val="44"/>
        <w:numPr>
          <w:ilvl w:val="0"/>
          <w:numId w:val="1"/>
        </w:numPr>
        <w:ind w:left="700" w:leftChars="250" w:firstLineChars="0"/>
        <w:rPr>
          <w:rFonts w:ascii="仿宋_GB2312"/>
          <w:b/>
        </w:rPr>
      </w:pPr>
      <w:r>
        <w:rPr>
          <w:rFonts w:hint="eastAsia" w:ascii="仿宋_GB2312"/>
          <w:b/>
        </w:rPr>
        <w:t>满意度情况及分析</w:t>
      </w:r>
    </w:p>
    <w:p>
      <w:pPr>
        <w:pStyle w:val="44"/>
        <w:ind w:left="0" w:leftChars="0" w:firstLine="1120" w:firstLineChars="400"/>
        <w:rPr>
          <w:rFonts w:hint="default" w:ascii="仿宋_GB2312"/>
          <w:bCs/>
          <w:lang w:val="en-US" w:eastAsia="zh-CN"/>
        </w:rPr>
      </w:pPr>
      <w:r>
        <w:rPr>
          <w:rFonts w:hint="eastAsia" w:ascii="仿宋_GB2312"/>
          <w:bCs/>
        </w:rPr>
        <w:t>待安置士兵满意度</w:t>
      </w:r>
      <w:r>
        <w:rPr>
          <w:rFonts w:hint="eastAsia" w:ascii="仿宋_GB2312"/>
          <w:bCs/>
          <w:lang w:eastAsia="zh-CN"/>
        </w:rPr>
        <w:t>达到</w:t>
      </w:r>
      <w:r>
        <w:rPr>
          <w:rFonts w:hint="eastAsia" w:ascii="仿宋_GB2312"/>
          <w:bCs/>
          <w:lang w:val="en-US" w:eastAsia="zh-CN"/>
        </w:rPr>
        <w:t>95%</w:t>
      </w:r>
    </w:p>
    <w:p>
      <w:pPr>
        <w:pStyle w:val="44"/>
        <w:numPr>
          <w:numId w:val="0"/>
        </w:numPr>
        <w:ind w:leftChars="250"/>
        <w:rPr>
          <w:rFonts w:hint="eastAsia" w:ascii="仿宋_GB2312"/>
          <w:b/>
        </w:rPr>
      </w:pPr>
      <w:bookmarkStart w:id="12" w:name="_Toc61505647"/>
      <w:r>
        <w:rPr>
          <w:rFonts w:hint="eastAsia" w:ascii="仿宋_GB2312"/>
          <w:b/>
        </w:rPr>
        <w:t>四、项目主要经验做法</w:t>
      </w:r>
      <w:bookmarkEnd w:id="12"/>
      <w:r>
        <w:rPr>
          <w:rFonts w:hint="eastAsia" w:ascii="仿宋_GB2312"/>
          <w:b/>
        </w:rPr>
        <w:t xml:space="preserve"> </w:t>
      </w:r>
    </w:p>
    <w:p>
      <w:pPr>
        <w:pStyle w:val="44"/>
        <w:ind w:firstLine="840" w:firstLineChars="300"/>
      </w:pPr>
      <w:r>
        <w:rPr>
          <w:rFonts w:hint="eastAsia"/>
        </w:rPr>
        <w:t>此项目属于县级资金，用于退役士兵安置期间生活补助及保险，体现了国家对军人的关怀，给安置期间的士兵一份生活保障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3" w:name="_Toc61505648"/>
      <w:r>
        <w:rPr>
          <w:rFonts w:hint="eastAsia" w:ascii="仿宋" w:hAnsi="仿宋" w:eastAsia="仿宋" w:cs="仿宋"/>
          <w:b/>
          <w:bCs w:val="0"/>
        </w:rPr>
        <w:t>五、项目管理中存在问题及原因分析</w:t>
      </w:r>
      <w:bookmarkEnd w:id="13"/>
    </w:p>
    <w:p>
      <w:pPr>
        <w:pStyle w:val="44"/>
        <w:ind w:firstLine="840" w:firstLineChars="300"/>
      </w:pPr>
      <w:r>
        <w:rPr>
          <w:rFonts w:hint="eastAsia"/>
        </w:rPr>
        <w:t>此项目属于县级资金，及时拨付，及时发放，无问题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4" w:name="_Toc61505649"/>
      <w:r>
        <w:rPr>
          <w:rFonts w:hint="eastAsia" w:ascii="仿宋" w:hAnsi="仿宋" w:eastAsia="仿宋" w:cs="仿宋"/>
          <w:b/>
          <w:bCs w:val="0"/>
        </w:rPr>
        <w:t>六、进一步加强项目管理措施及建议</w:t>
      </w:r>
      <w:bookmarkEnd w:id="14"/>
    </w:p>
    <w:p>
      <w:pPr>
        <w:pStyle w:val="44"/>
        <w:ind w:firstLine="848" w:firstLineChars="303"/>
      </w:pPr>
    </w:p>
    <w:p>
      <w:pPr>
        <w:pStyle w:val="44"/>
        <w:numPr>
          <w:ilvl w:val="0"/>
          <w:numId w:val="2"/>
        </w:numPr>
        <w:ind w:firstLine="56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此项目属于县级资金，用于退役士兵安置期间生活补助及保险，严禁挪用</w:t>
      </w:r>
    </w:p>
    <w:p>
      <w:pPr>
        <w:pStyle w:val="44"/>
        <w:widowControl w:val="0"/>
        <w:numPr>
          <w:numId w:val="0"/>
        </w:numPr>
        <w:spacing w:line="500" w:lineRule="exact"/>
        <w:jc w:val="both"/>
        <w:rPr>
          <w:rFonts w:hint="default"/>
          <w:lang w:val="en-US" w:eastAsia="zh-CN"/>
        </w:rPr>
      </w:pPr>
    </w:p>
    <w:p>
      <w:pPr>
        <w:pStyle w:val="44"/>
        <w:widowControl w:val="0"/>
        <w:numPr>
          <w:numId w:val="0"/>
        </w:numPr>
        <w:spacing w:line="500" w:lineRule="exact"/>
        <w:ind w:firstLine="560" w:firstLineChars="200"/>
        <w:jc w:val="both"/>
        <w:rPr>
          <w:rFonts w:hint="default"/>
          <w:lang w:val="en-US" w:eastAsia="zh-CN"/>
        </w:rPr>
        <w:sectPr>
          <w:footerReference r:id="rId9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  <w:bookmarkStart w:id="17" w:name="_GoBack"/>
      <w:bookmarkEnd w:id="17"/>
      <w:r>
        <w:rPr>
          <w:rFonts w:hint="eastAsia"/>
          <w:lang w:val="en-US" w:eastAsia="zh-CN"/>
        </w:rPr>
        <w:t>2.此项目属于县级资金，用于退役士兵安置期间生活补助及保险，确保专款专用</w:t>
      </w: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5" w:name="_Toc61505650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1.</w:t>
      </w:r>
      <w:r>
        <w:rPr>
          <w:rFonts w:hint="eastAsia" w:ascii="仿宋" w:hAnsi="仿宋" w:eastAsia="仿宋" w:cs="仿宋"/>
          <w:b/>
          <w:bCs w:val="0"/>
        </w:rPr>
        <w:t>项目支出绩效自评表</w:t>
      </w:r>
      <w:bookmarkEnd w:id="15"/>
    </w:p>
    <w:p>
      <w:pPr>
        <w:ind w:firstLine="560"/>
      </w:pPr>
    </w:p>
    <w:tbl>
      <w:tblPr>
        <w:tblStyle w:val="24"/>
        <w:tblW w:w="14063" w:type="dxa"/>
        <w:tblInd w:w="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54"/>
        <w:gridCol w:w="1843"/>
        <w:gridCol w:w="1819"/>
        <w:gridCol w:w="840"/>
        <w:gridCol w:w="1188"/>
        <w:gridCol w:w="1487"/>
        <w:gridCol w:w="1328"/>
        <w:gridCol w:w="1276"/>
        <w:gridCol w:w="2528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4063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</w:rPr>
              <w:t>附件</w:t>
            </w:r>
            <w:r>
              <w:rPr>
                <w:rFonts w:ascii="仿宋" w:hAnsi="仿宋" w:eastAsia="仿宋" w:cs="仿宋"/>
                <w:b/>
              </w:rPr>
              <w:t>1.</w:t>
            </w:r>
            <w:r>
              <w:rPr>
                <w:rFonts w:hint="eastAsia" w:ascii="仿宋" w:hAnsi="仿宋" w:eastAsia="仿宋" w:cs="仿宋"/>
                <w:b/>
              </w:rPr>
              <w:t>项目支出绩效自评表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一级指标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二级指标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目标指标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权重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目标值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业绩值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完成率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指标得分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0" w:firstLineChars="0"/>
              <w:jc w:val="center"/>
              <w:rPr>
                <w:rFonts w:ascii="仿宋_GB2312" w:hAnsi="Arial" w:cs="Arial"/>
                <w:b/>
                <w:sz w:val="22"/>
              </w:rPr>
            </w:pPr>
            <w:r>
              <w:rPr>
                <w:rFonts w:hint="eastAsia" w:ascii="仿宋_GB2312" w:hAnsi="Arial" w:cs="Arial"/>
                <w:b/>
                <w:sz w:val="22"/>
              </w:rPr>
              <w:t>偏差原因分析及改进措施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预算执行率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产出指标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数量指标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安置军属人数（人）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1人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质量指标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资金发放准确率（%）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时效指标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资金发放及时率（%）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及时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效益指标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社会效益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提高待安置士兵服务管理水平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提高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可持续影响指标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待安置人员期限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5月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75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满意度指标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服务对象满意度指标</w:t>
            </w:r>
          </w:p>
        </w:tc>
        <w:tc>
          <w:tcPr>
            <w:tcW w:w="1819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待安置士兵满意度</w:t>
            </w:r>
          </w:p>
        </w:tc>
        <w:tc>
          <w:tcPr>
            <w:tcW w:w="8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118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95%</w:t>
            </w:r>
          </w:p>
        </w:tc>
        <w:tc>
          <w:tcPr>
            <w:tcW w:w="13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100.00%</w:t>
            </w:r>
          </w:p>
        </w:tc>
        <w:tc>
          <w:tcPr>
            <w:tcW w:w="1276" w:type="dxa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  <w:r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  <w:t>15</w:t>
            </w:r>
          </w:p>
        </w:tc>
        <w:tc>
          <w:tcPr>
            <w:tcW w:w="252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spacing w:line="240" w:lineRule="atLeast"/>
              <w:ind w:firstLine="0" w:firstLineChars="0"/>
              <w:jc w:val="center"/>
              <w:rPr>
                <w:rFonts w:ascii="仿宋" w:hAnsi="等线" w:eastAsia="仿宋" w:cs="仿宋"/>
                <w:color w:val="000000"/>
                <w:kern w:val="0"/>
                <w:sz w:val="24"/>
                <w:szCs w:val="24"/>
                <w:highlight w:val="white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" w:hRule="atLeast"/>
        </w:trPr>
        <w:tc>
          <w:tcPr>
            <w:tcW w:w="1754" w:type="dxa"/>
            <w:tcBorders>
              <w:top w:val="single" w:color="000000" w:sz="4" w:space="0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43" w:type="dxa"/>
            <w:tcBorders>
              <w:top w:val="single" w:color="auto" w:sz="4" w:space="0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819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840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18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487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328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  <w:tc>
          <w:tcPr>
            <w:tcW w:w="2528" w:type="dxa"/>
            <w:tcBorders>
              <w:top w:val="single" w:color="000000" w:sz="4" w:space="0"/>
              <w:left w:val="nil"/>
              <w:bottom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440"/>
              <w:rPr>
                <w:rFonts w:ascii="仿宋_GB2312" w:hAnsi="Arial" w:cs="Arial"/>
                <w:sz w:val="22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17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25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>
            <w:pPr>
              <w:ind w:firstLine="400"/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>
      <w:pPr>
        <w:pStyle w:val="44"/>
        <w:ind w:firstLine="560"/>
        <w:sectPr>
          <w:footerReference r:id="rId10" w:type="default"/>
          <w:pgSz w:w="16838" w:h="11906" w:orient="landscape"/>
          <w:pgMar w:top="1800" w:right="1440" w:bottom="1800" w:left="1440" w:header="851" w:footer="992" w:gutter="0"/>
          <w:pgNumType w:start="1"/>
          <w:cols w:space="425" w:num="1"/>
          <w:docGrid w:type="lines" w:linePitch="381" w:charSpace="0"/>
        </w:sectPr>
      </w:pPr>
    </w:p>
    <w:p>
      <w:pPr>
        <w:pStyle w:val="52"/>
        <w:rPr>
          <w:rFonts w:ascii="仿宋" w:hAnsi="仿宋" w:eastAsia="仿宋" w:cs="仿宋"/>
          <w:b/>
          <w:bCs w:val="0"/>
        </w:rPr>
      </w:pPr>
      <w:bookmarkStart w:id="16" w:name="_Toc61505651"/>
      <w:r>
        <w:rPr>
          <w:rFonts w:hint="eastAsia" w:ascii="仿宋" w:hAnsi="仿宋" w:eastAsia="仿宋" w:cs="仿宋"/>
          <w:b/>
          <w:bCs w:val="0"/>
        </w:rPr>
        <w:t>附件</w:t>
      </w:r>
      <w:r>
        <w:rPr>
          <w:rFonts w:ascii="仿宋" w:hAnsi="仿宋" w:eastAsia="仿宋" w:cs="仿宋"/>
          <w:b/>
          <w:bCs w:val="0"/>
        </w:rPr>
        <w:t>2.</w:t>
      </w:r>
      <w:r>
        <w:rPr>
          <w:rFonts w:hint="eastAsia" w:ascii="仿宋" w:hAnsi="仿宋" w:eastAsia="仿宋" w:cs="仿宋"/>
          <w:b/>
          <w:bCs w:val="0"/>
        </w:rPr>
        <w:t>绩效自评相关资料</w:t>
      </w:r>
      <w:bookmarkEnd w:id="16"/>
    </w:p>
    <w:tbl>
      <w:tblPr>
        <w:tblStyle w:val="24"/>
        <w:tblW w:w="12100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10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C0C0C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黑体" w:hAnsi="Arial" w:eastAsia="黑体" w:cs="Arial"/>
                <w:b/>
                <w:bCs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附件</w:t>
            </w:r>
            <w:r>
              <w:rPr>
                <w:rFonts w:ascii="仿宋" w:hAnsi="仿宋" w:eastAsia="仿宋" w:cs="仿宋"/>
                <w:b/>
                <w:bCs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b/>
                <w:bCs/>
                <w:szCs w:val="28"/>
              </w:rPr>
              <w:t>绩效自评相关资料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7" w:hRule="atLeast"/>
          <w:jc w:val="center"/>
        </w:trPr>
        <w:tc>
          <w:tcPr>
            <w:tcW w:w="121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ind w:firstLine="562"/>
              <w:jc w:val="center"/>
              <w:rPr>
                <w:rFonts w:ascii="仿宋" w:hAnsi="仿宋" w:eastAsia="仿宋" w:cs="仿宋"/>
                <w:b/>
                <w:bCs/>
                <w:szCs w:val="28"/>
              </w:rPr>
            </w:pPr>
          </w:p>
        </w:tc>
      </w:tr>
    </w:tbl>
    <w:p>
      <w:pPr>
        <w:ind w:firstLine="0" w:firstLineChars="0"/>
      </w:pPr>
    </w:p>
    <w:sectPr>
      <w:headerReference r:id="rId13" w:type="first"/>
      <w:footerReference r:id="rId16" w:type="first"/>
      <w:headerReference r:id="rId11" w:type="default"/>
      <w:footerReference r:id="rId14" w:type="default"/>
      <w:headerReference r:id="rId12" w:type="even"/>
      <w:footerReference r:id="rId15" w:type="even"/>
      <w:pgSz w:w="16838" w:h="11906" w:orient="landscape"/>
      <w:pgMar w:top="1800" w:right="1440" w:bottom="1800" w:left="1440" w:header="851" w:footer="992" w:gutter="0"/>
      <w:cols w:space="425" w:num="1"/>
      <w:docGrid w:type="lines"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7</w:t>
    </w:r>
    <w:r>
      <w:rPr>
        <w:lang w:val="zh-CN"/>
      </w:rPr>
      <w:fldChar w:fldCharType="end"/>
    </w:r>
  </w:p>
  <w:p>
    <w:pPr>
      <w:pStyle w:val="16"/>
      <w:ind w:firstLine="0" w:firstLineChars="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  <w:jc w:val="center"/>
    </w:pPr>
  </w:p>
  <w:p>
    <w:pPr>
      <w:pStyle w:val="16"/>
      <w:ind w:firstLine="0" w:firstLineChars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0" w:firstLineChars="0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3B53022"/>
    <w:multiLevelType w:val="singleLevel"/>
    <w:tmpl w:val="E3B53022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 w:cs="Times New Roman"/>
      </w:rPr>
    </w:lvl>
  </w:abstractNum>
  <w:abstractNum w:abstractNumId="1">
    <w:nsid w:val="62336DB5"/>
    <w:multiLevelType w:val="singleLevel"/>
    <w:tmpl w:val="62336DB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7B7"/>
    <w:rsid w:val="000122EB"/>
    <w:rsid w:val="000142C9"/>
    <w:rsid w:val="00027C90"/>
    <w:rsid w:val="000805D6"/>
    <w:rsid w:val="00080DE2"/>
    <w:rsid w:val="0009606F"/>
    <w:rsid w:val="000A2B0D"/>
    <w:rsid w:val="000C6D57"/>
    <w:rsid w:val="000E044C"/>
    <w:rsid w:val="001028E5"/>
    <w:rsid w:val="001507B7"/>
    <w:rsid w:val="00156586"/>
    <w:rsid w:val="00170CA4"/>
    <w:rsid w:val="0017285F"/>
    <w:rsid w:val="001A3CD2"/>
    <w:rsid w:val="001B4120"/>
    <w:rsid w:val="001C06A8"/>
    <w:rsid w:val="002334E5"/>
    <w:rsid w:val="0023374D"/>
    <w:rsid w:val="00233B2D"/>
    <w:rsid w:val="00242DB8"/>
    <w:rsid w:val="00246562"/>
    <w:rsid w:val="002466C7"/>
    <w:rsid w:val="002501B7"/>
    <w:rsid w:val="00251511"/>
    <w:rsid w:val="0025376C"/>
    <w:rsid w:val="002A0567"/>
    <w:rsid w:val="002A3FC6"/>
    <w:rsid w:val="002B43E5"/>
    <w:rsid w:val="002C673A"/>
    <w:rsid w:val="002E433E"/>
    <w:rsid w:val="003022B9"/>
    <w:rsid w:val="00303641"/>
    <w:rsid w:val="003045A6"/>
    <w:rsid w:val="003242E7"/>
    <w:rsid w:val="00325A56"/>
    <w:rsid w:val="00326642"/>
    <w:rsid w:val="003414CE"/>
    <w:rsid w:val="003474F7"/>
    <w:rsid w:val="00357560"/>
    <w:rsid w:val="003A5DD6"/>
    <w:rsid w:val="003A6136"/>
    <w:rsid w:val="003B03AC"/>
    <w:rsid w:val="003C39F2"/>
    <w:rsid w:val="003E0487"/>
    <w:rsid w:val="003E1BB0"/>
    <w:rsid w:val="003E7B75"/>
    <w:rsid w:val="00400D3F"/>
    <w:rsid w:val="00401866"/>
    <w:rsid w:val="00401D6B"/>
    <w:rsid w:val="00405A2B"/>
    <w:rsid w:val="004133EA"/>
    <w:rsid w:val="0042269C"/>
    <w:rsid w:val="00441BCE"/>
    <w:rsid w:val="00452CC6"/>
    <w:rsid w:val="004550E0"/>
    <w:rsid w:val="004551B8"/>
    <w:rsid w:val="00455292"/>
    <w:rsid w:val="00480C40"/>
    <w:rsid w:val="00492C52"/>
    <w:rsid w:val="004979FF"/>
    <w:rsid w:val="004B227E"/>
    <w:rsid w:val="004C6F6A"/>
    <w:rsid w:val="004E0FDB"/>
    <w:rsid w:val="00542BD3"/>
    <w:rsid w:val="00543E44"/>
    <w:rsid w:val="00576C00"/>
    <w:rsid w:val="00593D5E"/>
    <w:rsid w:val="005A080E"/>
    <w:rsid w:val="005A3D0F"/>
    <w:rsid w:val="005B1DE6"/>
    <w:rsid w:val="005B7922"/>
    <w:rsid w:val="005E4265"/>
    <w:rsid w:val="005E7218"/>
    <w:rsid w:val="00614D76"/>
    <w:rsid w:val="006314F7"/>
    <w:rsid w:val="006475F4"/>
    <w:rsid w:val="00651C0F"/>
    <w:rsid w:val="00656B37"/>
    <w:rsid w:val="006570A5"/>
    <w:rsid w:val="00690F0F"/>
    <w:rsid w:val="006A3C55"/>
    <w:rsid w:val="006E330B"/>
    <w:rsid w:val="006F17DD"/>
    <w:rsid w:val="00700951"/>
    <w:rsid w:val="00734FBB"/>
    <w:rsid w:val="00795EE4"/>
    <w:rsid w:val="007A0274"/>
    <w:rsid w:val="007B18A7"/>
    <w:rsid w:val="007B29FC"/>
    <w:rsid w:val="007F5D03"/>
    <w:rsid w:val="00805ED9"/>
    <w:rsid w:val="00843FC2"/>
    <w:rsid w:val="00844C16"/>
    <w:rsid w:val="00850D03"/>
    <w:rsid w:val="00872799"/>
    <w:rsid w:val="0089335B"/>
    <w:rsid w:val="00893ADD"/>
    <w:rsid w:val="008B49C9"/>
    <w:rsid w:val="008B6A5F"/>
    <w:rsid w:val="008C2871"/>
    <w:rsid w:val="008C72AA"/>
    <w:rsid w:val="008F371F"/>
    <w:rsid w:val="00910324"/>
    <w:rsid w:val="00926CFB"/>
    <w:rsid w:val="009520B5"/>
    <w:rsid w:val="0095796F"/>
    <w:rsid w:val="009856DA"/>
    <w:rsid w:val="00996005"/>
    <w:rsid w:val="00A01AD8"/>
    <w:rsid w:val="00A07C62"/>
    <w:rsid w:val="00A10898"/>
    <w:rsid w:val="00A41307"/>
    <w:rsid w:val="00A52539"/>
    <w:rsid w:val="00A56A97"/>
    <w:rsid w:val="00A67F57"/>
    <w:rsid w:val="00A709BA"/>
    <w:rsid w:val="00A7438C"/>
    <w:rsid w:val="00A92A0A"/>
    <w:rsid w:val="00AA568B"/>
    <w:rsid w:val="00AB0F1D"/>
    <w:rsid w:val="00AC2951"/>
    <w:rsid w:val="00AD64A8"/>
    <w:rsid w:val="00B0412B"/>
    <w:rsid w:val="00B21080"/>
    <w:rsid w:val="00B31ECA"/>
    <w:rsid w:val="00B43815"/>
    <w:rsid w:val="00B52EBA"/>
    <w:rsid w:val="00B535AB"/>
    <w:rsid w:val="00B64666"/>
    <w:rsid w:val="00B8092D"/>
    <w:rsid w:val="00B81BE0"/>
    <w:rsid w:val="00B85A2B"/>
    <w:rsid w:val="00B9323C"/>
    <w:rsid w:val="00BC2B39"/>
    <w:rsid w:val="00BC42DD"/>
    <w:rsid w:val="00BD346F"/>
    <w:rsid w:val="00C24C26"/>
    <w:rsid w:val="00C25722"/>
    <w:rsid w:val="00C372D2"/>
    <w:rsid w:val="00C44067"/>
    <w:rsid w:val="00CA22A5"/>
    <w:rsid w:val="00CA34FC"/>
    <w:rsid w:val="00CA50DE"/>
    <w:rsid w:val="00CD128E"/>
    <w:rsid w:val="00CE5BDA"/>
    <w:rsid w:val="00CF39E1"/>
    <w:rsid w:val="00CF51F1"/>
    <w:rsid w:val="00D01733"/>
    <w:rsid w:val="00D71919"/>
    <w:rsid w:val="00D90DEA"/>
    <w:rsid w:val="00D97E83"/>
    <w:rsid w:val="00DC184E"/>
    <w:rsid w:val="00E11E0B"/>
    <w:rsid w:val="00E56E53"/>
    <w:rsid w:val="00E609AE"/>
    <w:rsid w:val="00E750BD"/>
    <w:rsid w:val="00E91A08"/>
    <w:rsid w:val="00E965D1"/>
    <w:rsid w:val="00EB4620"/>
    <w:rsid w:val="00EC43B2"/>
    <w:rsid w:val="00F03519"/>
    <w:rsid w:val="00F03929"/>
    <w:rsid w:val="00F060C7"/>
    <w:rsid w:val="00F068F7"/>
    <w:rsid w:val="00F14561"/>
    <w:rsid w:val="00F25650"/>
    <w:rsid w:val="00F45162"/>
    <w:rsid w:val="00F5304C"/>
    <w:rsid w:val="00F870C6"/>
    <w:rsid w:val="00F92B58"/>
    <w:rsid w:val="00F96480"/>
    <w:rsid w:val="00FD0AF5"/>
    <w:rsid w:val="00FD3022"/>
    <w:rsid w:val="00FD64C8"/>
    <w:rsid w:val="00FE4A15"/>
    <w:rsid w:val="00FF6DAB"/>
    <w:rsid w:val="661A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等线" w:hAnsi="等线" w:eastAsia="等线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nhideWhenUsed="0" w:uiPriority="99" w:semiHidden="0" w:name="heading 3"/>
    <w:lsdException w:qFormat="1" w:unhideWhenUsed="0" w:uiPriority="99" w:semiHidden="0" w:name="heading 4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99" w:semiHidden="0" w:name="toc 1"/>
    <w:lsdException w:qFormat="1" w:unhideWhenUsed="0" w:uiPriority="99" w:semiHidden="0" w:name="toc 2"/>
    <w:lsdException w:qFormat="1" w:unhideWhenUsed="0" w:uiPriority="99" w:semiHidden="0" w:name="toc 3"/>
    <w:lsdException w:qFormat="1" w:unhideWhenUsed="0" w:uiPriority="99" w:semiHidden="0" w:name="toc 4"/>
    <w:lsdException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uiPriority="99" w:name="Normal Indent"/>
    <w:lsdException w:uiPriority="99" w:name="footnote text"/>
    <w:lsdException w:qFormat="1" w:unhideWhenUsed="0" w:uiPriority="99" w:name="annotation text"/>
    <w:lsdException w:unhideWhenUsed="0" w:uiPriority="99" w:semiHidden="0" w:name="header"/>
    <w:lsdException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qFormat="1" w:unhideWhenUsed="0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qFormat="1" w:unhideWhenUsed="0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99" w:semiHidden="0" w:name="Table Grid"/>
    <w:lsdException w:uiPriority="99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600" w:firstLineChars="200"/>
      <w:jc w:val="both"/>
    </w:pPr>
    <w:rPr>
      <w:rFonts w:ascii="Calibri" w:hAnsi="Calibri" w:eastAsia="仿宋_GB2312" w:cs="黑体"/>
      <w:kern w:val="2"/>
      <w:sz w:val="28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qFormat/>
    <w:uiPriority w:val="99"/>
    <w:pPr>
      <w:keepNext/>
      <w:keepLines/>
      <w:spacing w:before="340" w:after="330" w:line="578" w:lineRule="auto"/>
      <w:jc w:val="left"/>
      <w:outlineLvl w:val="0"/>
    </w:pPr>
    <w:rPr>
      <w:rFonts w:ascii="Times New Roman" w:hAnsi="Times New Roman" w:cs="Times New Roman"/>
      <w:b/>
      <w:bCs/>
      <w:kern w:val="44"/>
      <w:sz w:val="32"/>
      <w:szCs w:val="44"/>
    </w:rPr>
  </w:style>
  <w:style w:type="paragraph" w:styleId="5">
    <w:name w:val="heading 2"/>
    <w:basedOn w:val="1"/>
    <w:next w:val="6"/>
    <w:link w:val="30"/>
    <w:qFormat/>
    <w:uiPriority w:val="99"/>
    <w:pPr>
      <w:keepNext/>
      <w:keepLines/>
      <w:spacing w:before="260" w:after="260" w:line="415" w:lineRule="auto"/>
      <w:ind w:firstLine="200"/>
      <w:jc w:val="left"/>
      <w:outlineLvl w:val="1"/>
    </w:pPr>
    <w:rPr>
      <w:rFonts w:ascii="Cambria" w:hAnsi="Cambria" w:cs="Times New Roman"/>
      <w:b/>
      <w:bCs/>
      <w:kern w:val="0"/>
      <w:sz w:val="30"/>
      <w:szCs w:val="32"/>
    </w:rPr>
  </w:style>
  <w:style w:type="paragraph" w:styleId="7">
    <w:name w:val="heading 3"/>
    <w:basedOn w:val="1"/>
    <w:next w:val="1"/>
    <w:link w:val="31"/>
    <w:qFormat/>
    <w:uiPriority w:val="99"/>
    <w:pPr>
      <w:keepNext/>
      <w:keepLines/>
      <w:spacing w:before="260" w:after="260" w:line="416" w:lineRule="auto"/>
      <w:jc w:val="left"/>
      <w:outlineLvl w:val="2"/>
    </w:pPr>
    <w:rPr>
      <w:rFonts w:cs="Times New Roman"/>
      <w:bCs/>
      <w:kern w:val="0"/>
      <w:szCs w:val="32"/>
    </w:rPr>
  </w:style>
  <w:style w:type="paragraph" w:styleId="8">
    <w:name w:val="heading 4"/>
    <w:basedOn w:val="1"/>
    <w:next w:val="1"/>
    <w:link w:val="32"/>
    <w:qFormat/>
    <w:uiPriority w:val="99"/>
    <w:pPr>
      <w:keepNext/>
      <w:keepLines/>
      <w:spacing w:before="280" w:after="290" w:line="376" w:lineRule="auto"/>
      <w:outlineLvl w:val="3"/>
    </w:pPr>
    <w:rPr>
      <w:rFonts w:ascii="Cambria" w:hAnsi="Cambria" w:eastAsia="宋体" w:cs="Times New Roman"/>
      <w:b/>
      <w:bCs/>
      <w:kern w:val="0"/>
      <w:szCs w:val="28"/>
    </w:rPr>
  </w:style>
  <w:style w:type="character" w:default="1" w:styleId="26">
    <w:name w:val="Default Paragraph Font"/>
    <w:semiHidden/>
    <w:uiPriority w:val="99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First Indent 2"/>
    <w:basedOn w:val="4"/>
    <w:link w:val="36"/>
    <w:qFormat/>
    <w:uiPriority w:val="99"/>
    <w:pPr>
      <w:ind w:firstLine="420"/>
    </w:pPr>
  </w:style>
  <w:style w:type="paragraph" w:styleId="4">
    <w:name w:val="Body Text Indent"/>
    <w:basedOn w:val="1"/>
    <w:link w:val="35"/>
    <w:semiHidden/>
    <w:qFormat/>
    <w:uiPriority w:val="99"/>
    <w:pPr>
      <w:spacing w:after="120"/>
      <w:ind w:left="420" w:leftChars="200"/>
    </w:pPr>
    <w:rPr>
      <w:rFonts w:cs="Times New Roman"/>
      <w:kern w:val="0"/>
      <w:szCs w:val="20"/>
    </w:rPr>
  </w:style>
  <w:style w:type="paragraph" w:styleId="6">
    <w:name w:val="No Spacing"/>
    <w:link w:val="43"/>
    <w:qFormat/>
    <w:uiPriority w:val="99"/>
    <w:pPr>
      <w:widowControl w:val="0"/>
      <w:ind w:firstLine="600" w:firstLineChars="200"/>
      <w:jc w:val="both"/>
    </w:pPr>
    <w:rPr>
      <w:rFonts w:ascii="Calibri" w:hAnsi="Calibri" w:eastAsia="仿宋_GB2312" w:cs="Times New Roman"/>
      <w:kern w:val="0"/>
      <w:sz w:val="28"/>
      <w:szCs w:val="22"/>
      <w:lang w:val="en-US" w:eastAsia="zh-CN" w:bidi="ar-SA"/>
    </w:rPr>
  </w:style>
  <w:style w:type="paragraph" w:styleId="9">
    <w:name w:val="toc 7"/>
    <w:basedOn w:val="1"/>
    <w:next w:val="1"/>
    <w:qFormat/>
    <w:uiPriority w:val="99"/>
    <w:pPr>
      <w:ind w:left="1680"/>
      <w:jc w:val="left"/>
    </w:pPr>
    <w:rPr>
      <w:rFonts w:cs="Calibri"/>
      <w:sz w:val="18"/>
      <w:szCs w:val="18"/>
    </w:rPr>
  </w:style>
  <w:style w:type="paragraph" w:styleId="10">
    <w:name w:val="Document Map"/>
    <w:basedOn w:val="1"/>
    <w:link w:val="42"/>
    <w:semiHidden/>
    <w:qFormat/>
    <w:uiPriority w:val="99"/>
    <w:rPr>
      <w:rFonts w:ascii="宋体" w:eastAsia="宋体" w:cs="Times New Roman"/>
      <w:kern w:val="0"/>
      <w:sz w:val="18"/>
      <w:szCs w:val="18"/>
    </w:rPr>
  </w:style>
  <w:style w:type="paragraph" w:styleId="11">
    <w:name w:val="annotation text"/>
    <w:basedOn w:val="1"/>
    <w:link w:val="40"/>
    <w:semiHidden/>
    <w:qFormat/>
    <w:uiPriority w:val="99"/>
    <w:rPr>
      <w:rFonts w:cs="Times New Roman"/>
      <w:kern w:val="0"/>
      <w:sz w:val="20"/>
      <w:szCs w:val="20"/>
    </w:rPr>
  </w:style>
  <w:style w:type="paragraph" w:styleId="12">
    <w:name w:val="toc 5"/>
    <w:basedOn w:val="1"/>
    <w:next w:val="1"/>
    <w:uiPriority w:val="99"/>
    <w:pPr>
      <w:ind w:left="1120"/>
      <w:jc w:val="left"/>
    </w:pPr>
    <w:rPr>
      <w:rFonts w:cs="Calibri"/>
      <w:sz w:val="18"/>
      <w:szCs w:val="18"/>
    </w:rPr>
  </w:style>
  <w:style w:type="paragraph" w:styleId="13">
    <w:name w:val="toc 3"/>
    <w:basedOn w:val="1"/>
    <w:next w:val="1"/>
    <w:qFormat/>
    <w:uiPriority w:val="99"/>
    <w:pPr>
      <w:ind w:left="560"/>
      <w:jc w:val="left"/>
    </w:pPr>
    <w:rPr>
      <w:rFonts w:cs="Calibri"/>
      <w:i/>
      <w:iCs/>
      <w:sz w:val="20"/>
      <w:szCs w:val="20"/>
    </w:rPr>
  </w:style>
  <w:style w:type="paragraph" w:styleId="14">
    <w:name w:val="toc 8"/>
    <w:basedOn w:val="1"/>
    <w:next w:val="1"/>
    <w:qFormat/>
    <w:uiPriority w:val="99"/>
    <w:pPr>
      <w:ind w:left="1960"/>
      <w:jc w:val="left"/>
    </w:pPr>
    <w:rPr>
      <w:rFonts w:cs="Calibri"/>
      <w:sz w:val="18"/>
      <w:szCs w:val="18"/>
    </w:rPr>
  </w:style>
  <w:style w:type="paragraph" w:styleId="15">
    <w:name w:val="Balloon Text"/>
    <w:basedOn w:val="1"/>
    <w:link w:val="38"/>
    <w:semiHidden/>
    <w:qFormat/>
    <w:uiPriority w:val="99"/>
    <w:rPr>
      <w:rFonts w:cs="Times New Roman"/>
      <w:kern w:val="0"/>
      <w:sz w:val="18"/>
      <w:szCs w:val="18"/>
    </w:rPr>
  </w:style>
  <w:style w:type="paragraph" w:styleId="16">
    <w:name w:val="footer"/>
    <w:basedOn w:val="1"/>
    <w:link w:val="3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7">
    <w:name w:val="header"/>
    <w:basedOn w:val="1"/>
    <w:link w:val="33"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toc 1"/>
    <w:basedOn w:val="1"/>
    <w:next w:val="1"/>
    <w:qFormat/>
    <w:uiPriority w:val="99"/>
    <w:pPr>
      <w:spacing w:before="120" w:after="120"/>
      <w:jc w:val="left"/>
    </w:pPr>
    <w:rPr>
      <w:rFonts w:cs="Calibri"/>
      <w:b/>
      <w:bCs/>
      <w:caps/>
      <w:sz w:val="20"/>
      <w:szCs w:val="20"/>
    </w:rPr>
  </w:style>
  <w:style w:type="paragraph" w:styleId="19">
    <w:name w:val="toc 4"/>
    <w:basedOn w:val="1"/>
    <w:next w:val="1"/>
    <w:qFormat/>
    <w:uiPriority w:val="99"/>
    <w:pPr>
      <w:ind w:left="840"/>
      <w:jc w:val="left"/>
    </w:pPr>
    <w:rPr>
      <w:rFonts w:cs="Calibri"/>
      <w:sz w:val="18"/>
      <w:szCs w:val="18"/>
    </w:rPr>
  </w:style>
  <w:style w:type="paragraph" w:styleId="20">
    <w:name w:val="toc 6"/>
    <w:basedOn w:val="1"/>
    <w:next w:val="1"/>
    <w:qFormat/>
    <w:uiPriority w:val="99"/>
    <w:pPr>
      <w:ind w:left="1400"/>
      <w:jc w:val="left"/>
    </w:pPr>
    <w:rPr>
      <w:rFonts w:cs="Calibri"/>
      <w:sz w:val="18"/>
      <w:szCs w:val="18"/>
    </w:rPr>
  </w:style>
  <w:style w:type="paragraph" w:styleId="21">
    <w:name w:val="toc 2"/>
    <w:basedOn w:val="1"/>
    <w:next w:val="1"/>
    <w:qFormat/>
    <w:uiPriority w:val="99"/>
    <w:pPr>
      <w:ind w:left="280"/>
      <w:jc w:val="left"/>
    </w:pPr>
    <w:rPr>
      <w:rFonts w:cs="Calibri"/>
      <w:smallCaps/>
      <w:sz w:val="20"/>
      <w:szCs w:val="20"/>
    </w:rPr>
  </w:style>
  <w:style w:type="paragraph" w:styleId="22">
    <w:name w:val="toc 9"/>
    <w:basedOn w:val="1"/>
    <w:next w:val="1"/>
    <w:qFormat/>
    <w:uiPriority w:val="99"/>
    <w:pPr>
      <w:ind w:left="2240"/>
      <w:jc w:val="left"/>
    </w:pPr>
    <w:rPr>
      <w:rFonts w:cs="Calibri"/>
      <w:sz w:val="18"/>
      <w:szCs w:val="18"/>
    </w:rPr>
  </w:style>
  <w:style w:type="paragraph" w:styleId="23">
    <w:name w:val="annotation subject"/>
    <w:basedOn w:val="11"/>
    <w:next w:val="11"/>
    <w:link w:val="41"/>
    <w:semiHidden/>
    <w:qFormat/>
    <w:uiPriority w:val="99"/>
    <w:rPr>
      <w:b/>
      <w:bCs/>
    </w:rPr>
  </w:style>
  <w:style w:type="table" w:styleId="25">
    <w:name w:val="Table Grid"/>
    <w:basedOn w:val="24"/>
    <w:qFormat/>
    <w:uiPriority w:val="99"/>
    <w:rPr>
      <w:rFonts w:ascii="Calibri" w:hAnsi="Calibri" w:eastAsia="宋体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27">
    <w:name w:val="Hyperlink"/>
    <w:basedOn w:val="26"/>
    <w:qFormat/>
    <w:uiPriority w:val="99"/>
    <w:rPr>
      <w:rFonts w:cs="Times New Roman"/>
      <w:color w:val="0000FF"/>
      <w:u w:val="single"/>
    </w:rPr>
  </w:style>
  <w:style w:type="character" w:styleId="28">
    <w:name w:val="annotation reference"/>
    <w:basedOn w:val="26"/>
    <w:semiHidden/>
    <w:qFormat/>
    <w:uiPriority w:val="99"/>
    <w:rPr>
      <w:rFonts w:cs="Times New Roman"/>
      <w:sz w:val="16"/>
    </w:rPr>
  </w:style>
  <w:style w:type="character" w:customStyle="1" w:styleId="29">
    <w:name w:val="Heading 1 Char"/>
    <w:basedOn w:val="26"/>
    <w:link w:val="2"/>
    <w:qFormat/>
    <w:locked/>
    <w:uiPriority w:val="99"/>
    <w:rPr>
      <w:rFonts w:ascii="Times New Roman" w:hAnsi="Times New Roman" w:eastAsia="仿宋_GB2312" w:cs="Times New Roman"/>
      <w:b/>
      <w:bCs/>
      <w:kern w:val="44"/>
      <w:sz w:val="44"/>
      <w:szCs w:val="44"/>
    </w:rPr>
  </w:style>
  <w:style w:type="character" w:customStyle="1" w:styleId="30">
    <w:name w:val="Heading 2 Char"/>
    <w:basedOn w:val="26"/>
    <w:link w:val="5"/>
    <w:locked/>
    <w:uiPriority w:val="99"/>
    <w:rPr>
      <w:rFonts w:ascii="Cambria" w:hAnsi="Cambria" w:eastAsia="仿宋_GB2312" w:cs="Times New Roman"/>
      <w:b/>
      <w:bCs/>
      <w:kern w:val="0"/>
      <w:sz w:val="32"/>
      <w:szCs w:val="32"/>
    </w:rPr>
  </w:style>
  <w:style w:type="character" w:customStyle="1" w:styleId="31">
    <w:name w:val="Heading 3 Char"/>
    <w:basedOn w:val="26"/>
    <w:link w:val="7"/>
    <w:locked/>
    <w:uiPriority w:val="99"/>
    <w:rPr>
      <w:rFonts w:ascii="Calibri" w:hAnsi="Calibri" w:eastAsia="仿宋_GB2312" w:cs="Times New Roman"/>
      <w:bCs/>
      <w:kern w:val="0"/>
      <w:sz w:val="32"/>
      <w:szCs w:val="32"/>
    </w:rPr>
  </w:style>
  <w:style w:type="character" w:customStyle="1" w:styleId="32">
    <w:name w:val="Heading 4 Char"/>
    <w:basedOn w:val="26"/>
    <w:link w:val="8"/>
    <w:semiHidden/>
    <w:qFormat/>
    <w:locked/>
    <w:uiPriority w:val="99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33">
    <w:name w:val="Header Char"/>
    <w:basedOn w:val="26"/>
    <w:link w:val="17"/>
    <w:qFormat/>
    <w:locked/>
    <w:uiPriority w:val="99"/>
    <w:rPr>
      <w:rFonts w:cs="Times New Roman"/>
      <w:sz w:val="18"/>
      <w:szCs w:val="18"/>
    </w:rPr>
  </w:style>
  <w:style w:type="character" w:customStyle="1" w:styleId="34">
    <w:name w:val="Footer Char"/>
    <w:basedOn w:val="26"/>
    <w:link w:val="16"/>
    <w:locked/>
    <w:uiPriority w:val="99"/>
    <w:rPr>
      <w:rFonts w:cs="Times New Roman"/>
      <w:sz w:val="18"/>
      <w:szCs w:val="18"/>
    </w:rPr>
  </w:style>
  <w:style w:type="character" w:customStyle="1" w:styleId="35">
    <w:name w:val="Body Text Indent Char"/>
    <w:basedOn w:val="26"/>
    <w:link w:val="4"/>
    <w:semiHidden/>
    <w:qFormat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36">
    <w:name w:val="Body Text First Indent 2 Char"/>
    <w:basedOn w:val="35"/>
    <w:link w:val="3"/>
    <w:locked/>
    <w:uiPriority w:val="99"/>
  </w:style>
  <w:style w:type="character" w:customStyle="1" w:styleId="37">
    <w:name w:val="Intense Reference"/>
    <w:basedOn w:val="26"/>
    <w:qFormat/>
    <w:uiPriority w:val="99"/>
    <w:rPr>
      <w:b/>
      <w:smallCaps/>
      <w:color w:val="C0504D"/>
      <w:spacing w:val="5"/>
      <w:u w:val="single"/>
    </w:rPr>
  </w:style>
  <w:style w:type="character" w:customStyle="1" w:styleId="38">
    <w:name w:val="Balloon Text Char"/>
    <w:basedOn w:val="26"/>
    <w:link w:val="15"/>
    <w:semiHidden/>
    <w:locked/>
    <w:uiPriority w:val="99"/>
    <w:rPr>
      <w:rFonts w:ascii="Calibri" w:hAnsi="Calibri" w:eastAsia="仿宋_GB2312" w:cs="Times New Roman"/>
      <w:kern w:val="0"/>
      <w:sz w:val="18"/>
      <w:szCs w:val="18"/>
    </w:rPr>
  </w:style>
  <w:style w:type="paragraph" w:styleId="39">
    <w:name w:val="List Paragraph"/>
    <w:basedOn w:val="1"/>
    <w:qFormat/>
    <w:uiPriority w:val="99"/>
    <w:pPr>
      <w:ind w:firstLine="420"/>
    </w:pPr>
  </w:style>
  <w:style w:type="character" w:customStyle="1" w:styleId="40">
    <w:name w:val="Comment Text Char"/>
    <w:basedOn w:val="26"/>
    <w:link w:val="11"/>
    <w:semiHidden/>
    <w:locked/>
    <w:uiPriority w:val="99"/>
    <w:rPr>
      <w:rFonts w:ascii="Calibri" w:hAnsi="Calibri" w:eastAsia="仿宋_GB2312" w:cs="Times New Roman"/>
      <w:kern w:val="0"/>
      <w:sz w:val="20"/>
      <w:szCs w:val="20"/>
    </w:rPr>
  </w:style>
  <w:style w:type="character" w:customStyle="1" w:styleId="41">
    <w:name w:val="Comment Subject Char"/>
    <w:basedOn w:val="40"/>
    <w:link w:val="23"/>
    <w:semiHidden/>
    <w:qFormat/>
    <w:locked/>
    <w:uiPriority w:val="99"/>
    <w:rPr>
      <w:b/>
      <w:bCs/>
    </w:rPr>
  </w:style>
  <w:style w:type="character" w:customStyle="1" w:styleId="42">
    <w:name w:val="Document Map Char"/>
    <w:basedOn w:val="26"/>
    <w:link w:val="10"/>
    <w:semiHidden/>
    <w:locked/>
    <w:uiPriority w:val="99"/>
    <w:rPr>
      <w:rFonts w:ascii="宋体" w:hAnsi="Calibri" w:eastAsia="宋体" w:cs="Times New Roman"/>
      <w:kern w:val="0"/>
      <w:sz w:val="18"/>
      <w:szCs w:val="18"/>
    </w:rPr>
  </w:style>
  <w:style w:type="character" w:customStyle="1" w:styleId="43">
    <w:name w:val="No Spacing Char"/>
    <w:link w:val="6"/>
    <w:qFormat/>
    <w:locked/>
    <w:uiPriority w:val="99"/>
    <w:rPr>
      <w:rFonts w:ascii="Calibri" w:hAnsi="Calibri" w:eastAsia="仿宋_GB2312"/>
      <w:sz w:val="22"/>
    </w:rPr>
  </w:style>
  <w:style w:type="paragraph" w:customStyle="1" w:styleId="44">
    <w:name w:val="闻政-正文段落文字"/>
    <w:basedOn w:val="1"/>
    <w:link w:val="45"/>
    <w:qFormat/>
    <w:uiPriority w:val="99"/>
    <w:pPr>
      <w:spacing w:line="500" w:lineRule="exact"/>
      <w:ind w:firstLine="200"/>
    </w:pPr>
    <w:rPr>
      <w:rFonts w:ascii="Times New Roman" w:hAnsi="Times New Roman" w:cs="Times New Roman"/>
      <w:kern w:val="0"/>
      <w:szCs w:val="28"/>
    </w:rPr>
  </w:style>
  <w:style w:type="character" w:customStyle="1" w:styleId="45">
    <w:name w:val="闻政-正文段落文字 Char"/>
    <w:link w:val="44"/>
    <w:qFormat/>
    <w:locked/>
    <w:uiPriority w:val="99"/>
    <w:rPr>
      <w:rFonts w:ascii="Times New Roman" w:hAnsi="Times New Roman" w:eastAsia="仿宋_GB2312"/>
      <w:kern w:val="0"/>
      <w:sz w:val="28"/>
    </w:rPr>
  </w:style>
  <w:style w:type="paragraph" w:customStyle="1" w:styleId="46">
    <w:name w:val="闻政-正文二级标题"/>
    <w:basedOn w:val="5"/>
    <w:next w:val="44"/>
    <w:link w:val="47"/>
    <w:qFormat/>
    <w:uiPriority w:val="99"/>
    <w:pPr>
      <w:spacing w:before="120" w:after="60" w:line="500" w:lineRule="exact"/>
      <w:ind w:left="200" w:leftChars="200" w:firstLine="0" w:firstLineChars="0"/>
    </w:pPr>
    <w:rPr>
      <w:rFonts w:ascii="Times New Roman" w:hAnsi="Times New Roman"/>
      <w:sz w:val="28"/>
    </w:rPr>
  </w:style>
  <w:style w:type="character" w:customStyle="1" w:styleId="47">
    <w:name w:val="闻政-正文二级标题 Char"/>
    <w:link w:val="46"/>
    <w:qFormat/>
    <w:locked/>
    <w:uiPriority w:val="99"/>
    <w:rPr>
      <w:rFonts w:ascii="Times New Roman" w:hAnsi="Times New Roman" w:eastAsia="仿宋_GB2312"/>
      <w:b/>
      <w:kern w:val="0"/>
      <w:sz w:val="32"/>
    </w:rPr>
  </w:style>
  <w:style w:type="paragraph" w:customStyle="1" w:styleId="48">
    <w:name w:val="闻政-正文三级标题"/>
    <w:basedOn w:val="1"/>
    <w:next w:val="44"/>
    <w:link w:val="49"/>
    <w:uiPriority w:val="99"/>
    <w:pPr>
      <w:widowControl/>
      <w:spacing w:before="120" w:after="60" w:line="500" w:lineRule="exact"/>
      <w:ind w:left="200" w:leftChars="200" w:firstLine="0" w:firstLineChars="0"/>
    </w:pPr>
    <w:rPr>
      <w:rFonts w:ascii="Times New Roman" w:hAnsi="Times New Roman" w:cs="Times New Roman"/>
      <w:b/>
      <w:kern w:val="0"/>
      <w:szCs w:val="28"/>
    </w:rPr>
  </w:style>
  <w:style w:type="character" w:customStyle="1" w:styleId="49">
    <w:name w:val="闻政-正文三级标题 Char"/>
    <w:link w:val="48"/>
    <w:locked/>
    <w:uiPriority w:val="99"/>
    <w:rPr>
      <w:rFonts w:ascii="Times New Roman" w:hAnsi="Times New Roman" w:eastAsia="仿宋_GB2312"/>
      <w:b/>
      <w:snapToGrid w:val="0"/>
      <w:kern w:val="0"/>
      <w:sz w:val="28"/>
    </w:rPr>
  </w:style>
  <w:style w:type="paragraph" w:customStyle="1" w:styleId="50">
    <w:name w:val="闻政-正文四级标题"/>
    <w:basedOn w:val="48"/>
    <w:next w:val="44"/>
    <w:link w:val="51"/>
    <w:uiPriority w:val="99"/>
    <w:rPr>
      <w:b w:val="0"/>
    </w:rPr>
  </w:style>
  <w:style w:type="character" w:customStyle="1" w:styleId="51">
    <w:name w:val="闻政-正文四级标题 Char"/>
    <w:link w:val="50"/>
    <w:locked/>
    <w:uiPriority w:val="99"/>
    <w:rPr>
      <w:rFonts w:ascii="Times New Roman" w:hAnsi="Times New Roman" w:eastAsia="仿宋_GB2312"/>
      <w:snapToGrid w:val="0"/>
      <w:kern w:val="0"/>
      <w:sz w:val="28"/>
    </w:rPr>
  </w:style>
  <w:style w:type="paragraph" w:customStyle="1" w:styleId="52">
    <w:name w:val="闻政-正文一级标题"/>
    <w:basedOn w:val="7"/>
    <w:next w:val="44"/>
    <w:link w:val="53"/>
    <w:uiPriority w:val="99"/>
    <w:pPr>
      <w:spacing w:before="120" w:after="60" w:line="500" w:lineRule="exact"/>
      <w:ind w:firstLine="0" w:firstLineChars="0"/>
      <w:outlineLvl w:val="0"/>
    </w:pPr>
    <w:rPr>
      <w:rFonts w:ascii="黑体" w:hAnsi="黑体" w:eastAsia="黑体"/>
      <w:sz w:val="32"/>
    </w:rPr>
  </w:style>
  <w:style w:type="character" w:customStyle="1" w:styleId="53">
    <w:name w:val="闻政-正文一级标题 Char"/>
    <w:link w:val="52"/>
    <w:locked/>
    <w:uiPriority w:val="99"/>
    <w:rPr>
      <w:rFonts w:ascii="黑体" w:hAnsi="黑体" w:eastAsia="黑体"/>
      <w:kern w:val="0"/>
      <w:sz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theme" Target="theme/theme1.xml"/><Relationship Id="rId16" Type="http://schemas.openxmlformats.org/officeDocument/2006/relationships/footer" Target="footer8.xml"/><Relationship Id="rId15" Type="http://schemas.openxmlformats.org/officeDocument/2006/relationships/footer" Target="footer7.xml"/><Relationship Id="rId14" Type="http://schemas.openxmlformats.org/officeDocument/2006/relationships/footer" Target="footer6.xml"/><Relationship Id="rId13" Type="http://schemas.openxmlformats.org/officeDocument/2006/relationships/header" Target="header6.xml"/><Relationship Id="rId12" Type="http://schemas.openxmlformats.org/officeDocument/2006/relationships/header" Target="header5.xml"/><Relationship Id="rId11" Type="http://schemas.openxmlformats.org/officeDocument/2006/relationships/header" Target="header4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11</Pages>
  <Words>455</Words>
  <Characters>2599</Characters>
  <Lines>0</Lines>
  <Paragraphs>0</Paragraphs>
  <TotalTime>2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2020-07-13T07:59:00Z</dcterms:created>
  <dc:creator>qq</dc:creator>
  <cp:lastModifiedBy>Administrator</cp:lastModifiedBy>
  <dcterms:modified xsi:type="dcterms:W3CDTF">2022-03-30T02:27:50Z</dcterms:modified>
  <cp:revision>94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