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center"/>
        <w:rPr>
          <w:rFonts w:ascii="宋体" w:eastAsia="宋体" w:cs="宋体" w:hint="eastAsia"/>
          <w:b/>
          <w:bCs/>
          <w:sz w:val="44"/>
          <w:szCs w:val="44"/>
          <w:lang w:val="en-US" w:eastAsia="zh-CN"/>
        </w:rPr>
      </w:pPr>
    </w:p>
    <w:p>
      <w:pPr>
        <w:spacing w:line="600" w:lineRule="exact"/>
        <w:jc w:val="center"/>
        <w:rPr>
          <w:rFonts w:ascii="宋体" w:eastAsia="宋体" w:cs="宋体" w:hint="eastAsia"/>
          <w:b/>
          <w:bCs/>
          <w:sz w:val="44"/>
          <w:szCs w:val="44"/>
          <w:lang w:val="en-US" w:eastAsia="zh-CN"/>
        </w:rPr>
      </w:pPr>
      <w:r>
        <w:rPr>
          <w:rFonts w:ascii="宋体" w:eastAsia="宋体" w:cs="宋体" w:hint="eastAsia"/>
          <w:b/>
          <w:bCs/>
          <w:sz w:val="44"/>
          <w:szCs w:val="44"/>
          <w:lang w:val="en-US" w:eastAsia="zh-CN"/>
        </w:rPr>
        <w:t>古县</w:t>
      </w:r>
      <w:r>
        <w:rPr>
          <w:rFonts w:ascii="宋体" w:cs="宋体" w:hint="eastAsia"/>
          <w:b/>
          <w:bCs/>
          <w:sz w:val="44"/>
          <w:szCs w:val="44"/>
          <w:lang w:val="en-US" w:eastAsia="zh-CN"/>
        </w:rPr>
        <w:t>人民政府办公室</w:t>
      </w:r>
    </w:p>
    <w:p>
      <w:pPr>
        <w:spacing w:line="600" w:lineRule="exact"/>
        <w:jc w:val="center"/>
        <w:rPr>
          <w:rFonts w:ascii="宋体" w:eastAsia="宋体" w:cs="宋体" w:hint="eastAsia"/>
          <w:b/>
          <w:bCs/>
          <w:sz w:val="44"/>
          <w:szCs w:val="44"/>
        </w:rPr>
      </w:pPr>
      <w:r>
        <w:rPr>
          <w:rFonts w:ascii="宋体" w:eastAsia="宋体" w:cs="宋体" w:hint="eastAsia"/>
          <w:b/>
          <w:bCs/>
          <w:sz w:val="44"/>
          <w:szCs w:val="44"/>
          <w:lang w:val="en-US" w:eastAsia="zh-CN"/>
        </w:rPr>
        <w:t>202</w:t>
      </w:r>
      <w:r>
        <w:rPr>
          <w:rFonts w:ascii="宋体" w:cs="宋体" w:hint="eastAsia"/>
          <w:b/>
          <w:bCs/>
          <w:sz w:val="44"/>
          <w:szCs w:val="44"/>
          <w:lang w:val="en-US" w:eastAsia="zh-CN"/>
        </w:rPr>
        <w:t>1</w:t>
      </w:r>
      <w:r>
        <w:rPr>
          <w:rFonts w:ascii="宋体" w:eastAsia="宋体" w:cs="宋体" w:hint="eastAsia"/>
          <w:b/>
          <w:bCs/>
          <w:sz w:val="44"/>
          <w:szCs w:val="44"/>
          <w:lang w:val="en-US" w:eastAsia="zh-CN"/>
        </w:rPr>
        <w:t>年</w:t>
      </w:r>
      <w:r>
        <w:rPr>
          <w:rFonts w:ascii="宋体" w:eastAsia="宋体" w:cs="宋体" w:hint="eastAsia"/>
          <w:b/>
          <w:bCs/>
          <w:sz w:val="44"/>
          <w:szCs w:val="44"/>
        </w:rPr>
        <w:t>部门整体支出绩效自评报告</w:t>
      </w:r>
    </w:p>
    <w:p>
      <w:pPr>
        <w:spacing w:line="600" w:lineRule="exact"/>
        <w:jc w:val="center"/>
        <w:rPr>
          <w:rFonts w:ascii="宋体" w:eastAsia="宋体" w:cs="宋体" w:hint="eastAsia"/>
          <w:b/>
          <w:bCs/>
          <w:sz w:val="44"/>
          <w:szCs w:val="44"/>
        </w:rPr>
      </w:pPr>
    </w:p>
    <w:p>
      <w:pPr>
        <w:spacing w:line="560" w:lineRule="exact"/>
        <w:ind w:left="0" w:firstLineChars="200" w:firstLine="640"/>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一、</w:t>
      </w:r>
      <w:r>
        <w:rPr>
          <w:rFonts w:ascii="仿宋_GB2312" w:eastAsia="仿宋_GB2312" w:cs="仿宋_GB2312" w:hint="eastAsia"/>
          <w:b/>
          <w:bCs/>
          <w:sz w:val="32"/>
          <w:szCs w:val="32"/>
        </w:rPr>
        <w:t>部门（单位）概况</w:t>
      </w:r>
    </w:p>
    <w:p>
      <w:pPr>
        <w:spacing w:line="600" w:lineRule="exact"/>
        <w:ind w:firstLineChars="200" w:firstLine="640"/>
        <w:rPr>
          <w:rFonts w:ascii="仿宋_GB2312" w:eastAsia="仿宋_GB2312" w:cs="仿宋_GB2312" w:hint="eastAsia"/>
          <w:b/>
          <w:bCs/>
          <w:kern w:val="2"/>
          <w:sz w:val="32"/>
          <w:szCs w:val="32"/>
          <w:lang w:val="en-US" w:eastAsia="zh-CN" w:bidi="ar-SA"/>
        </w:rPr>
      </w:pPr>
      <w:r>
        <w:rPr>
          <w:rFonts w:ascii="仿宋_GB2312" w:eastAsia="仿宋_GB2312" w:cs="仿宋_GB2312" w:hint="eastAsia"/>
          <w:b/>
          <w:bCs/>
          <w:kern w:val="2"/>
          <w:sz w:val="32"/>
          <w:szCs w:val="32"/>
          <w:lang w:val="en-US" w:eastAsia="zh-CN" w:bidi="ar-SA"/>
        </w:rPr>
        <w:t>（一）部门（单位）主要职责职能，组织架构、人员及资产等基本情况。</w:t>
      </w:r>
    </w:p>
    <w:p>
      <w:pPr>
        <w:pStyle w:val="15"/>
        <w:rPr>
          <w:rFonts w:ascii="仿宋_GB2312" w:eastAsia="仿宋_GB2312" w:cs="仿宋_GB2312" w:hint="eastAsia"/>
          <w:sz w:val="32"/>
          <w:szCs w:val="32"/>
          <w:lang w:val="en-US" w:eastAsia="zh-CN"/>
        </w:rPr>
      </w:pPr>
      <w:r>
        <w:rPr>
          <w:rFonts w:ascii="仿宋_GB2312" w:eastAsia="仿宋_GB2312" w:cs="仿宋_GB2312" w:hint="eastAsia"/>
          <w:kern w:val="2"/>
          <w:sz w:val="32"/>
          <w:szCs w:val="32"/>
          <w:lang w:val="en-US" w:eastAsia="zh-CN" w:bidi="ar-SA"/>
        </w:rPr>
        <w:t>1、主要职责职能：</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（一）负责县政府各类会议的组织实施工作。</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（二）协助县政府领导组织起草或审核以县政府和县政府办公室名义发布的公文，办理中共中央、国务院、省委、省政府、市委、市政府及市直各委局、各县（市、区）发送县政府的公文。</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（三）受理各乡镇人民政府及县政府各部门请示县政府的事项，提出审核意见，报县政府领导同志审批。</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（四）根据县政府领导同志的指示，对政府各部门间有争议的事项提出处理意见，报县政府决定。</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（五）督促检查县政府各部门和各乡镇人民政府对县政府公文、会议决定事项及县政府领导同志有关指示的执行落实情况并跟踪调研，及时向县政府领导同志报告。</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（六）负责县政府值班工作，及时报告重要情况；协助处理各部门和各乡镇向县政府反应的重要问题，征集人民群众的建议和意见。</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（七）对全县经济和社会发展等重大问题以及县政府的各项政策、决策组织调查研究，及时反映情况、提出建议。</w:t>
      </w:r>
    </w:p>
    <w:p>
      <w:pPr>
        <w:adjustRightInd w:val="0"/>
        <w:snapToGrid w:val="0"/>
        <w:spacing w:line="560" w:lineRule="exact"/>
        <w:ind w:firstLineChars="168" w:firstLine="538"/>
        <w:rPr>
          <w:rFonts w:ascii="仿宋_GB2312" w:eastAsia="仿宋_GB2312" w:cs="仿宋_GB2312" w:hint="eastAsia"/>
          <w:bCs/>
          <w:sz w:val="32"/>
          <w:szCs w:val="32"/>
        </w:rPr>
      </w:pPr>
      <w:r>
        <w:rPr>
          <w:rFonts w:ascii="仿宋_GB2312" w:eastAsia="仿宋_GB2312" w:cs="仿宋_GB2312" w:hint="eastAsia"/>
          <w:bCs/>
          <w:sz w:val="32"/>
          <w:szCs w:val="32"/>
        </w:rPr>
        <w:t>（八）负责指导监督全县政府信息公开和政务公开工作。</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（九）负责政务信息工作，及时提供信息服务，及时向市政府报送重要信息。</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（十）统一刻制、颁发各乡镇人民政府、县政府各部门及直属事业单位的印章。</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（十一）负责组织办理人大代表议案和政协委员提案。</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（十二）做好办公室机关职工的思想政治工作、人事工作和离退休人员管理服务工作。</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（十三）负责全县政府系统电子政务及办公自动化建设和管理。</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（十四）负责全县外事和台港澳事务工作。</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（十五）负责全县金融工作的指导协调和管理服务。</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（十六）完成县委、县政府交办的其他任务。</w:t>
      </w:r>
    </w:p>
    <w:p>
      <w:pPr>
        <w:pStyle w:val="15"/>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2、</w:t>
      </w:r>
      <w:r>
        <w:rPr>
          <w:rFonts w:ascii="仿宋_GB2312" w:eastAsia="仿宋_GB2312" w:cs="仿宋_GB2312" w:hint="eastAsia"/>
          <w:kern w:val="2"/>
          <w:sz w:val="32"/>
          <w:szCs w:val="32"/>
          <w:lang w:val="en-US" w:eastAsia="zh-CN" w:bidi="ar-SA"/>
        </w:rPr>
        <w:t>机构设置、人员情况：</w:t>
      </w:r>
    </w:p>
    <w:p>
      <w:pPr>
        <w:adjustRightInd w:val="0"/>
        <w:snapToGrid w:val="0"/>
        <w:spacing w:line="560" w:lineRule="exact"/>
        <w:ind w:firstLineChars="150" w:firstLine="480"/>
        <w:rPr>
          <w:rFonts w:ascii="楷体" w:eastAsia="楷体" w:cs="仿宋_GB2312"/>
          <w:bCs/>
          <w:sz w:val="32"/>
          <w:szCs w:val="32"/>
        </w:rPr>
      </w:pPr>
      <w:r>
        <w:rPr>
          <w:rFonts w:ascii="楷体" w:eastAsia="楷体" w:cs="仿宋_GB2312" w:hint="eastAsia"/>
          <w:bCs/>
          <w:sz w:val="32"/>
          <w:szCs w:val="32"/>
        </w:rPr>
        <w:t>1.内设机构</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组织机构：古县人民政府办公室为行政单位，正科级建制，机关共有内设股室6个（县政府党组办公室、综合股、县政府督查室、机要档案股、秘书股、政府信息公开股）和县政府外事办公室、县政府台港澳事务办公室，县金融工作办公室，下设事业单位1个（重点办）。</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2.人员编制</w:t>
      </w:r>
    </w:p>
    <w:p>
      <w:pPr>
        <w:adjustRightInd w:val="0"/>
        <w:snapToGrid w:val="0"/>
        <w:spacing w:line="560" w:lineRule="exact"/>
        <w:ind w:firstLineChars="150" w:firstLine="480"/>
        <w:rPr>
          <w:rFonts w:ascii="仿宋_GB2312" w:eastAsia="仿宋_GB2312" w:cs="仿宋_GB2312" w:hint="eastAsia"/>
          <w:bCs/>
          <w:sz w:val="32"/>
          <w:szCs w:val="32"/>
        </w:rPr>
      </w:pPr>
      <w:r>
        <w:rPr>
          <w:rFonts w:ascii="仿宋_GB2312" w:eastAsia="仿宋_GB2312" w:cs="仿宋_GB2312" w:hint="eastAsia"/>
          <w:bCs/>
          <w:sz w:val="32"/>
          <w:szCs w:val="32"/>
        </w:rPr>
        <w:t>古县人民政府办公室，编制人数为</w:t>
      </w:r>
      <w:r>
        <w:rPr>
          <w:rFonts w:ascii="仿宋_GB2312" w:eastAsia="仿宋_GB2312" w:cs="仿宋_GB2312" w:hint="eastAsia"/>
          <w:bCs/>
          <w:sz w:val="32"/>
          <w:szCs w:val="32"/>
          <w:lang w:val="en-US"/>
        </w:rPr>
        <w:t>31</w:t>
      </w:r>
      <w:r>
        <w:rPr>
          <w:rFonts w:ascii="仿宋_GB2312" w:eastAsia="仿宋_GB2312" w:cs="仿宋_GB2312" w:hint="eastAsia"/>
          <w:bCs/>
          <w:sz w:val="32"/>
          <w:szCs w:val="32"/>
        </w:rPr>
        <w:t>人，其中行政编制</w:t>
      </w:r>
      <w:r>
        <w:rPr>
          <w:rFonts w:ascii="仿宋_GB2312" w:eastAsia="仿宋_GB2312" w:cs="仿宋_GB2312" w:hint="eastAsia"/>
          <w:bCs/>
          <w:sz w:val="32"/>
          <w:szCs w:val="32"/>
          <w:lang w:val="en-US"/>
        </w:rPr>
        <w:t>19</w:t>
      </w:r>
      <w:r>
        <w:rPr>
          <w:rFonts w:ascii="仿宋_GB2312" w:eastAsia="仿宋_GB2312" w:cs="仿宋_GB2312" w:hint="eastAsia"/>
          <w:bCs/>
          <w:sz w:val="32"/>
          <w:szCs w:val="32"/>
        </w:rPr>
        <w:t>人，事业编制1</w:t>
      </w:r>
      <w:r>
        <w:rPr>
          <w:rFonts w:ascii="仿宋_GB2312" w:eastAsia="仿宋_GB2312" w:cs="仿宋_GB2312" w:hint="eastAsia"/>
          <w:bCs/>
          <w:sz w:val="32"/>
          <w:szCs w:val="32"/>
          <w:lang w:val="en-US"/>
        </w:rPr>
        <w:t>2</w:t>
      </w:r>
      <w:r>
        <w:rPr>
          <w:rFonts w:ascii="仿宋_GB2312" w:eastAsia="仿宋_GB2312" w:cs="仿宋_GB2312" w:hint="eastAsia"/>
          <w:bCs/>
          <w:sz w:val="32"/>
          <w:szCs w:val="32"/>
        </w:rPr>
        <w:t>人。</w:t>
      </w:r>
    </w:p>
    <w:p>
      <w:pPr>
        <w:spacing w:line="600" w:lineRule="exact"/>
        <w:ind w:firstLineChars="200" w:firstLine="640"/>
        <w:rPr>
          <w:rFonts w:ascii="仿宋_GB2312" w:eastAsia="仿宋_GB2312" w:cs="仿宋_GB2312" w:hint="eastAsia"/>
          <w:bCs/>
          <w:sz w:val="32"/>
          <w:szCs w:val="32"/>
        </w:rPr>
      </w:pPr>
      <w:r>
        <w:rPr>
          <w:rFonts w:ascii="仿宋_GB2312" w:eastAsia="仿宋_GB2312" w:cs="仿宋_GB2312" w:hint="eastAsia"/>
          <w:bCs/>
          <w:sz w:val="32"/>
          <w:szCs w:val="32"/>
        </w:rPr>
        <w:t>现有在职干部职工共2</w:t>
      </w:r>
      <w:r>
        <w:rPr>
          <w:rFonts w:ascii="仿宋_GB2312" w:eastAsia="仿宋_GB2312" w:cs="仿宋_GB2312"/>
          <w:bCs/>
          <w:sz w:val="32"/>
          <w:szCs w:val="32"/>
          <w:lang w:val="en-US"/>
        </w:rPr>
        <w:t>5</w:t>
      </w:r>
      <w:r>
        <w:rPr>
          <w:rFonts w:ascii="仿宋_GB2312" w:eastAsia="仿宋_GB2312" w:cs="仿宋_GB2312" w:hint="eastAsia"/>
          <w:bCs/>
          <w:sz w:val="32"/>
          <w:szCs w:val="32"/>
        </w:rPr>
        <w:t>人，其中行政</w:t>
      </w:r>
      <w:r>
        <w:rPr>
          <w:rFonts w:ascii="仿宋_GB2312" w:eastAsia="仿宋_GB2312" w:cs="仿宋_GB2312" w:hint="eastAsia"/>
          <w:bCs/>
          <w:sz w:val="32"/>
          <w:szCs w:val="32"/>
          <w:lang w:val="en-US"/>
        </w:rPr>
        <w:t>1</w:t>
      </w:r>
      <w:r>
        <w:rPr>
          <w:rFonts w:ascii="仿宋_GB2312" w:eastAsia="仿宋_GB2312" w:cs="仿宋_GB2312"/>
          <w:bCs/>
          <w:sz w:val="32"/>
          <w:szCs w:val="32"/>
          <w:lang w:val="en-US"/>
        </w:rPr>
        <w:t>6</w:t>
      </w:r>
      <w:r>
        <w:rPr>
          <w:rFonts w:ascii="仿宋_GB2312" w:eastAsia="仿宋_GB2312" w:cs="仿宋_GB2312" w:hint="eastAsia"/>
          <w:bCs/>
          <w:sz w:val="32"/>
          <w:szCs w:val="32"/>
        </w:rPr>
        <w:t>人，事业</w:t>
      </w:r>
      <w:r>
        <w:rPr>
          <w:rFonts w:ascii="仿宋_GB2312" w:eastAsia="仿宋_GB2312" w:cs="仿宋_GB2312" w:hint="eastAsia"/>
          <w:bCs/>
          <w:sz w:val="32"/>
          <w:szCs w:val="32"/>
          <w:lang w:val="en-US"/>
        </w:rPr>
        <w:t>10</w:t>
      </w:r>
      <w:r>
        <w:rPr>
          <w:rFonts w:ascii="仿宋_GB2312" w:eastAsia="仿宋_GB2312" w:cs="仿宋_GB2312" w:hint="eastAsia"/>
          <w:bCs/>
          <w:sz w:val="32"/>
          <w:szCs w:val="32"/>
        </w:rPr>
        <w:t>人；退休人员</w:t>
      </w:r>
      <w:r>
        <w:rPr>
          <w:rFonts w:ascii="仿宋_GB2312" w:eastAsia="仿宋_GB2312" w:cs="仿宋_GB2312" w:hint="eastAsia"/>
          <w:bCs/>
          <w:sz w:val="32"/>
          <w:szCs w:val="32"/>
          <w:lang w:val="en-US"/>
        </w:rPr>
        <w:t>5</w:t>
      </w:r>
      <w:r>
        <w:rPr>
          <w:rFonts w:ascii="仿宋_GB2312" w:eastAsia="仿宋_GB2312" w:cs="仿宋_GB2312" w:hint="eastAsia"/>
          <w:bCs/>
          <w:sz w:val="32"/>
          <w:szCs w:val="32"/>
        </w:rPr>
        <w:t>人。</w:t>
      </w:r>
    </w:p>
    <w:p>
      <w:pPr>
        <w:spacing w:line="600" w:lineRule="exact"/>
        <w:ind w:firstLineChars="200" w:firstLine="640"/>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3、资产情况</w:t>
      </w:r>
    </w:p>
    <w:p>
      <w:pPr>
        <w:spacing w:line="580" w:lineRule="exact"/>
        <w:ind w:left="0" w:firstLineChars="200" w:firstLine="640"/>
        <w:outlineLvl w:val="0"/>
        <w:rPr>
          <w:rFonts w:ascii="仿宋_GB2312" w:eastAsia="仿宋_GB2312" w:cs="仿宋_GB2312" w:hint="eastAsia"/>
          <w:b w:val="0"/>
          <w:bCs/>
          <w:sz w:val="32"/>
          <w:szCs w:val="32"/>
          <w:lang w:val="en-US" w:eastAsia="zh-CN"/>
        </w:rPr>
      </w:pPr>
      <w:r>
        <w:rPr>
          <w:rFonts w:ascii="仿宋_GB2312" w:eastAsia="仿宋_GB2312" w:cs="仿宋_GB2312" w:hint="eastAsia"/>
          <w:b w:val="0"/>
          <w:bCs/>
          <w:sz w:val="32"/>
          <w:szCs w:val="32"/>
          <w:lang w:val="en-US" w:eastAsia="zh-CN"/>
        </w:rPr>
        <w:t>年末固定资产原值</w:t>
      </w:r>
      <w:r>
        <w:rPr>
          <w:rFonts w:ascii="仿宋_GB2312" w:eastAsia="仿宋_GB2312" w:cs="仿宋_GB2312"/>
          <w:b w:val="0"/>
          <w:bCs/>
          <w:sz w:val="32"/>
          <w:szCs w:val="32"/>
          <w:lang w:val="en-US" w:eastAsia="zh-CN"/>
        </w:rPr>
        <w:t>49</w:t>
      </w:r>
      <w:r>
        <w:rPr>
          <w:rFonts w:ascii="仿宋_GB2312" w:eastAsia="仿宋_GB2312" w:cs="仿宋_GB2312" w:hint="eastAsia"/>
          <w:b w:val="0"/>
          <w:bCs/>
          <w:sz w:val="32"/>
          <w:szCs w:val="32"/>
          <w:lang w:val="en-US" w:eastAsia="zh-CN"/>
        </w:rPr>
        <w:t>.</w:t>
      </w:r>
      <w:r>
        <w:rPr>
          <w:rFonts w:ascii="仿宋_GB2312" w:eastAsia="仿宋_GB2312" w:cs="仿宋_GB2312"/>
          <w:b w:val="0"/>
          <w:bCs/>
          <w:sz w:val="32"/>
          <w:szCs w:val="32"/>
          <w:lang w:val="en-US" w:eastAsia="zh-CN"/>
        </w:rPr>
        <w:t>07</w:t>
      </w:r>
      <w:r>
        <w:rPr>
          <w:rFonts w:ascii="仿宋_GB2312" w:eastAsia="仿宋_GB2312" w:cs="仿宋_GB2312" w:hint="eastAsia"/>
          <w:b w:val="0"/>
          <w:bCs/>
          <w:sz w:val="32"/>
          <w:szCs w:val="32"/>
          <w:lang w:val="en-US" w:eastAsia="zh-CN"/>
        </w:rPr>
        <w:t>万元；其中：打印设备</w:t>
      </w:r>
      <w:r>
        <w:rPr>
          <w:rFonts w:ascii="仿宋_GB2312" w:eastAsia="仿宋_GB2312" w:cs="仿宋_GB2312"/>
          <w:b w:val="0"/>
          <w:bCs/>
          <w:sz w:val="32"/>
          <w:szCs w:val="32"/>
          <w:lang w:val="en-US" w:eastAsia="zh-CN"/>
        </w:rPr>
        <w:t>2.36</w:t>
      </w:r>
      <w:r>
        <w:rPr>
          <w:rFonts w:ascii="仿宋_GB2312" w:eastAsia="仿宋_GB2312" w:cs="仿宋_GB2312" w:hint="eastAsia"/>
          <w:b w:val="0"/>
          <w:bCs/>
          <w:sz w:val="32"/>
          <w:szCs w:val="32"/>
          <w:lang w:val="en-US" w:eastAsia="zh-CN"/>
        </w:rPr>
        <w:t>万元；复印机</w:t>
      </w:r>
      <w:r>
        <w:rPr>
          <w:rFonts w:ascii="仿宋_GB2312" w:eastAsia="仿宋_GB2312" w:cs="仿宋_GB2312"/>
          <w:b w:val="0"/>
          <w:bCs/>
          <w:sz w:val="32"/>
          <w:szCs w:val="32"/>
          <w:lang w:val="en-US" w:eastAsia="zh-CN"/>
        </w:rPr>
        <w:t>2.78</w:t>
      </w:r>
      <w:r>
        <w:rPr>
          <w:rFonts w:ascii="仿宋_GB2312" w:eastAsia="仿宋_GB2312" w:cs="仿宋_GB2312" w:hint="eastAsia"/>
          <w:b w:val="0"/>
          <w:bCs/>
          <w:sz w:val="32"/>
          <w:szCs w:val="32"/>
          <w:lang w:val="en-US" w:eastAsia="zh-CN"/>
        </w:rPr>
        <w:t>万元；网关</w:t>
      </w:r>
      <w:r>
        <w:rPr>
          <w:rFonts w:ascii="仿宋_GB2312" w:eastAsia="仿宋_GB2312" w:cs="仿宋_GB2312"/>
          <w:b w:val="0"/>
          <w:bCs/>
          <w:sz w:val="32"/>
          <w:szCs w:val="32"/>
          <w:lang w:val="en-US" w:eastAsia="zh-CN"/>
        </w:rPr>
        <w:t>14.8</w:t>
      </w:r>
      <w:r>
        <w:rPr>
          <w:rFonts w:ascii="仿宋_GB2312" w:eastAsia="仿宋_GB2312" w:cs="仿宋_GB2312" w:hint="eastAsia"/>
          <w:b w:val="0"/>
          <w:bCs/>
          <w:sz w:val="32"/>
          <w:szCs w:val="32"/>
          <w:lang w:val="en-US" w:eastAsia="zh-CN"/>
        </w:rPr>
        <w:t>万元；办公电脑</w:t>
      </w:r>
      <w:r>
        <w:rPr>
          <w:rFonts w:ascii="仿宋_GB2312" w:eastAsia="仿宋_GB2312" w:cs="仿宋_GB2312"/>
          <w:b w:val="0"/>
          <w:bCs/>
          <w:sz w:val="32"/>
          <w:szCs w:val="32"/>
          <w:lang w:val="en-US" w:eastAsia="zh-CN"/>
        </w:rPr>
        <w:t>10.8</w:t>
      </w:r>
      <w:r>
        <w:rPr>
          <w:rFonts w:ascii="仿宋_GB2312" w:eastAsia="仿宋_GB2312" w:cs="仿宋_GB2312" w:hint="eastAsia"/>
          <w:b w:val="0"/>
          <w:bCs/>
          <w:sz w:val="32"/>
          <w:szCs w:val="32"/>
          <w:lang w:val="en-US" w:eastAsia="zh-CN"/>
        </w:rPr>
        <w:t>万元；其他设备</w:t>
      </w:r>
      <w:r>
        <w:rPr>
          <w:rFonts w:ascii="仿宋_GB2312" w:eastAsia="仿宋_GB2312" w:cs="仿宋_GB2312"/>
          <w:b w:val="0"/>
          <w:bCs/>
          <w:sz w:val="32"/>
          <w:szCs w:val="32"/>
          <w:lang w:val="en-US" w:eastAsia="zh-CN"/>
        </w:rPr>
        <w:t>18.33</w:t>
      </w:r>
      <w:r>
        <w:rPr>
          <w:rFonts w:ascii="仿宋_GB2312" w:eastAsia="仿宋_GB2312" w:cs="仿宋_GB2312" w:hint="eastAsia"/>
          <w:b w:val="0"/>
          <w:bCs/>
          <w:sz w:val="32"/>
          <w:szCs w:val="32"/>
          <w:lang w:val="en-US" w:eastAsia="zh-CN"/>
        </w:rPr>
        <w:t>万元。</w:t>
      </w:r>
    </w:p>
    <w:p>
      <w:pPr>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rPr>
          <w:rFonts w:ascii="仿宋_GB2312" w:eastAsia="仿宋_GB2312" w:cs="仿宋_GB2312" w:hint="eastAsia"/>
          <w:b/>
          <w:bCs/>
          <w:sz w:val="32"/>
          <w:szCs w:val="32"/>
          <w:lang w:val="en-US" w:eastAsia="zh-CN"/>
        </w:rPr>
      </w:pPr>
      <w:r>
        <w:rPr>
          <w:rFonts w:ascii="仿宋_GB2312" w:eastAsia="仿宋_GB2312" w:cs="仿宋_GB2312" w:hint="eastAsia"/>
          <w:b/>
          <w:bCs/>
          <w:sz w:val="32"/>
          <w:szCs w:val="32"/>
          <w:lang w:val="en-US" w:eastAsia="zh-CN"/>
        </w:rPr>
        <w:t>（二）2021年部门（单位）履职总体目标、工作任务。</w:t>
      </w:r>
    </w:p>
    <w:p>
      <w:pPr>
        <w:pStyle w:val="15"/>
        <w:ind w:left="0" w:firstLineChars="200" w:firstLine="640"/>
        <w:rPr>
          <w:rFonts w:ascii="仿宋_GB2312" w:eastAsia="仿宋_GB2312" w:cs="仿宋_GB2312" w:hint="eastAsia"/>
          <w:sz w:val="32"/>
          <w:szCs w:val="32"/>
          <w:lang w:eastAsia="zh-CN"/>
        </w:rPr>
      </w:pPr>
      <w:r>
        <w:rPr>
          <w:rFonts w:ascii="仿宋_GB2312" w:eastAsia="仿宋_GB2312" w:cs="仿宋_GB2312" w:hint="eastAsia"/>
          <w:sz w:val="32"/>
          <w:szCs w:val="32"/>
        </w:rPr>
        <w:t>总体目标:做到“一确保到位、二要求满意、三环节严谨、四率提高”</w:t>
      </w:r>
      <w:r>
        <w:rPr>
          <w:rFonts w:ascii="仿宋_GB2312" w:eastAsia="仿宋_GB2312" w:cs="仿宋_GB2312" w:hint="eastAsia"/>
          <w:sz w:val="32"/>
          <w:szCs w:val="32"/>
          <w:lang w:eastAsia="zh-CN"/>
        </w:rPr>
        <w:t>。</w:t>
      </w:r>
    </w:p>
    <w:p>
      <w:pPr>
        <w:pStyle w:val="15"/>
        <w:ind w:left="0" w:firstLineChars="200" w:firstLine="640"/>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工作任务：(一)办文的“一确保”到位。确保发文处理准确无误，做到审核严格、程序合理、内容准确、格式规范、印发及时，符合党的方针政策和国家法律法规，力争错误率为零。</w:t>
      </w:r>
    </w:p>
    <w:p>
      <w:pPr>
        <w:pStyle w:val="15"/>
        <w:numPr>
          <w:ilvl w:val="0"/>
          <w:numId w:val="1"/>
        </w:numPr>
        <w:ind w:left="0" w:firstLineChars="200" w:firstLine="640"/>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办事的“二要求”满意。即为领导服务优质高效，为机关和基层服务工作到位。抓好县政府领导同志内务活动的安排.协调和联络工作，县政府办公务活动的接洽联系工作和县政府领导、县政府办领导交办的各项工作:</w:t>
      </w:r>
    </w:p>
    <w:p>
      <w:pPr>
        <w:pStyle w:val="15"/>
        <w:numPr>
          <w:ilvl w:val="0"/>
          <w:numId w:val="1"/>
        </w:numPr>
        <w:ind w:left="0" w:firstLineChars="200" w:firstLine="640"/>
        <w:rPr>
          <w:rFonts w:ascii="仿宋_GB2312" w:eastAsia="仿宋_GB2312" w:cs="仿宋_GB2312"/>
          <w:sz w:val="32"/>
          <w:szCs w:val="32"/>
          <w:lang w:val="en-US" w:eastAsia="zh-CN"/>
        </w:rPr>
      </w:pPr>
      <w:r>
        <w:rPr>
          <w:rFonts w:ascii="仿宋_GB2312" w:eastAsia="仿宋_GB2312" w:cs="仿宋_GB2312"/>
          <w:sz w:val="32"/>
          <w:szCs w:val="32"/>
          <w:lang w:val="en-US" w:eastAsia="zh-CN"/>
        </w:rPr>
        <w:t>办会的“三环节”严谨。会前，从严审批县政府各部门召开的全县性会议，切实抓好县政府召开的全县性会议、县政府全会、县政府常务会、县长办公会的会务组织工作:会中，认真做好县四家领导会议、县委县政府党政联席会议、县政府全会县政府常务会、县长办公会等会议记录:会后，及时准确地制发县政府常务会议和县长办公会议纪要，严格保守会议秘密，做好会议的宣传报</w:t>
      </w:r>
      <w:r>
        <w:rPr>
          <w:rFonts w:ascii="仿宋_GB2312" w:eastAsia="仿宋_GB2312" w:cs="仿宋_GB2312"/>
          <w:sz w:val="32"/>
          <w:szCs w:val="32"/>
          <w:lang w:val="en-US" w:eastAsia="zh-CN"/>
        </w:rPr>
        <w:t>道</w:t>
      </w:r>
      <w:r>
        <w:rPr>
          <w:rFonts w:ascii="仿宋_GB2312" w:eastAsia="仿宋_GB2312" w:cs="仿宋_GB2312"/>
          <w:sz w:val="32"/>
          <w:szCs w:val="32"/>
          <w:lang w:val="en-US" w:eastAsia="zh-CN"/>
        </w:rPr>
        <w:t>工作。</w:t>
      </w:r>
    </w:p>
    <w:p>
      <w:pPr>
        <w:pStyle w:val="15"/>
        <w:numPr>
          <w:ilvl w:val="0"/>
          <w:numId w:val="1"/>
        </w:numPr>
        <w:ind w:left="0" w:firstLineChars="200" w:firstLine="640"/>
        <w:rPr>
          <w:rFonts w:ascii="仿宋_GB2312" w:eastAsia="仿宋_GB2312" w:cs="仿宋_GB2312"/>
          <w:sz w:val="32"/>
          <w:szCs w:val="32"/>
          <w:lang w:val="en-US" w:eastAsia="zh-CN"/>
        </w:rPr>
      </w:pPr>
      <w:r>
        <w:rPr>
          <w:rFonts w:ascii="仿宋_GB2312" w:eastAsia="仿宋_GB2312" w:cs="仿宋_GB2312"/>
          <w:sz w:val="32"/>
          <w:szCs w:val="32"/>
          <w:lang w:val="en-US" w:eastAsia="zh-CN"/>
        </w:rPr>
        <w:t>办案的“四率”提高。人大代表议案建议和政协委员提案办复率达 100%，办理见面率达 85%以上，代表委员满意率 95%以上，办实事率达 85%以上。</w:t>
      </w:r>
    </w:p>
    <w:p>
      <w:pPr>
        <w:ind w:left="0" w:firstLineChars="200" w:firstLine="640"/>
        <w:rPr>
          <w:rFonts w:ascii="仿宋_GB2312" w:eastAsia="仿宋_GB2312" w:cs="仿宋_GB2312" w:hint="eastAsia"/>
          <w:b/>
          <w:bCs/>
          <w:kern w:val="2"/>
          <w:sz w:val="32"/>
          <w:szCs w:val="32"/>
          <w:lang w:val="en-US" w:eastAsia="zh-CN" w:bidi="ar-SA"/>
        </w:rPr>
      </w:pPr>
      <w:r>
        <w:rPr>
          <w:rFonts w:ascii="仿宋_GB2312" w:eastAsia="仿宋_GB2312" w:cs="仿宋_GB2312" w:hint="eastAsia"/>
          <w:b/>
          <w:bCs/>
          <w:kern w:val="2"/>
          <w:sz w:val="32"/>
          <w:szCs w:val="32"/>
          <w:lang w:val="en-US" w:eastAsia="zh-CN" w:bidi="ar-SA"/>
        </w:rPr>
        <w:t>（三）2021年部门（单位）年度整体支出绩效目标。</w:t>
      </w:r>
    </w:p>
    <w:p>
      <w:pPr>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rPr>
          <w:rFonts w:ascii="仿宋_GB2312" w:eastAsia="仿宋_GB2312" w:cs="仿宋_GB2312" w:hint="eastAsia"/>
          <w:b w:val="0"/>
          <w:bCs w:val="0"/>
          <w:kern w:val="2"/>
          <w:sz w:val="32"/>
          <w:szCs w:val="32"/>
          <w:lang w:val="en-US" w:eastAsia="zh-CN" w:bidi="ar-SA"/>
        </w:rPr>
      </w:pPr>
      <w:r>
        <w:rPr>
          <w:rFonts w:ascii="仿宋_GB2312" w:eastAsia="仿宋_GB2312" w:cs="仿宋_GB2312" w:hint="eastAsia"/>
          <w:b w:val="0"/>
          <w:bCs w:val="0"/>
          <w:kern w:val="2"/>
          <w:sz w:val="32"/>
          <w:szCs w:val="32"/>
          <w:lang w:val="en-US" w:eastAsia="zh-CN" w:bidi="ar-SA"/>
        </w:rPr>
        <w:t>1、提高工作效率，处理好政府日常工作任务，确保县政府工作高效运转；2、完成县政府特定行政工作任务，确保年度事业发展目标的实现，提升人民群众满意度。  </w:t>
      </w:r>
    </w:p>
    <w:p>
      <w:pPr>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rPr>
          <w:rFonts w:ascii="仿宋_GB2312" w:eastAsia="仿宋_GB2312" w:cs="仿宋_GB2312" w:hint="eastAsia"/>
          <w:b/>
          <w:bCs/>
          <w:kern w:val="2"/>
          <w:sz w:val="32"/>
          <w:szCs w:val="32"/>
          <w:lang w:val="en-US" w:eastAsia="zh-CN" w:bidi="ar-SA"/>
        </w:rPr>
      </w:pPr>
      <w:r>
        <w:rPr>
          <w:rFonts w:ascii="仿宋_GB2312" w:eastAsia="仿宋_GB2312" w:cs="仿宋_GB2312" w:hint="eastAsia"/>
          <w:b/>
          <w:bCs/>
          <w:kern w:val="2"/>
          <w:sz w:val="32"/>
          <w:szCs w:val="32"/>
          <w:lang w:val="en-US" w:eastAsia="zh-CN" w:bidi="ar-SA"/>
        </w:rPr>
        <w:t>（四）部门（单位）预算绩效管理开展情况。</w:t>
      </w:r>
    </w:p>
    <w:p>
      <w:pPr>
        <w:pStyle w:val="15"/>
        <w:ind w:left="0" w:firstLineChars="200" w:firstLine="640"/>
        <w:rPr>
          <w:rFonts w:ascii="仿宋_GB2312" w:eastAsia="仿宋_GB2312" w:cs="仿宋_GB2312" w:hint="eastAsia"/>
          <w:kern w:val="2"/>
          <w:sz w:val="32"/>
          <w:szCs w:val="32"/>
          <w:lang w:val="en-US" w:eastAsia="zh-CN" w:bidi="ar-SA"/>
        </w:rPr>
      </w:pPr>
      <w:r>
        <w:rPr>
          <w:rFonts w:ascii="仿宋_GB2312" w:eastAsia="仿宋_GB2312" w:cs="仿宋_GB2312" w:hint="eastAsia"/>
          <w:kern w:val="2"/>
          <w:sz w:val="32"/>
          <w:szCs w:val="32"/>
          <w:lang w:val="en-US" w:eastAsia="zh-CN" w:bidi="ar-SA"/>
        </w:rPr>
        <w:t>扎实推进我办预算绩效管理工作：加强学习、成立机构、健全制度、积极宣传、强化监控。</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rPr>
          <w:rFonts w:ascii="仿宋_GB2312" w:eastAsia="仿宋_GB2312" w:cs="仿宋_GB2312" w:hint="eastAsia"/>
          <w:kern w:val="2"/>
          <w:sz w:val="32"/>
          <w:szCs w:val="32"/>
          <w:lang w:val="en-US" w:eastAsia="zh-CN" w:bidi="ar-SA"/>
        </w:rPr>
      </w:pPr>
      <w:r>
        <w:rPr>
          <w:rFonts w:ascii="仿宋_GB2312" w:eastAsia="仿宋_GB2312" w:cs="仿宋_GB2312" w:hint="eastAsia"/>
          <w:b/>
          <w:bCs/>
          <w:kern w:val="2"/>
          <w:sz w:val="32"/>
          <w:szCs w:val="32"/>
          <w:lang w:val="en-US" w:eastAsia="zh-CN" w:bidi="ar-SA"/>
        </w:rPr>
        <w:t>（五）2021年部门（单位）预算及执行情况。</w:t>
      </w:r>
    </w:p>
    <w:p>
      <w:pPr>
        <w:spacing w:line="580" w:lineRule="exact"/>
        <w:ind w:firstLine="640"/>
        <w:rPr>
          <w:rFonts w:ascii="仿宋_GB2312" w:eastAsia="仿宋_GB2312" w:cs="仿宋_GB2312" w:hint="eastAsia"/>
          <w:sz w:val="32"/>
          <w:szCs w:val="32"/>
        </w:rPr>
      </w:pPr>
      <w:r>
        <w:rPr>
          <w:rFonts w:ascii="仿宋_GB2312" w:eastAsia="仿宋_GB2312" w:cs="仿宋_GB2312" w:hint="eastAsia"/>
          <w:sz w:val="32"/>
          <w:szCs w:val="32"/>
        </w:rPr>
        <w:t>202</w:t>
      </w: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年度收入合计</w:t>
      </w:r>
      <w:r>
        <w:rPr>
          <w:rFonts w:ascii="仿宋_GB2312" w:eastAsia="仿宋_GB2312" w:cs="仿宋_GB2312" w:hint="eastAsia"/>
          <w:sz w:val="32"/>
          <w:szCs w:val="32"/>
          <w:lang w:val="en-US" w:eastAsia="zh-CN"/>
        </w:rPr>
        <w:t>555</w:t>
      </w:r>
      <w:r>
        <w:rPr>
          <w:rFonts w:ascii="仿宋_GB2312" w:cs="仿宋_GB2312" w:hAnsi="仿宋_GB2312"/>
          <w:sz w:val="32"/>
          <w:szCs w:val="32"/>
          <w:lang w:val="en-US" w:eastAsia="zh-CN"/>
        </w:rPr>
        <w:t>.</w:t>
      </w:r>
      <w:r>
        <w:rPr>
          <w:rFonts w:ascii="仿宋_GB2312" w:eastAsia="仿宋_GB2312" w:cs="仿宋_GB2312" w:hint="eastAsia"/>
          <w:sz w:val="32"/>
          <w:szCs w:val="32"/>
          <w:lang w:val="en-US" w:eastAsia="zh-CN"/>
        </w:rPr>
        <w:t>53</w:t>
      </w:r>
      <w:r>
        <w:rPr>
          <w:rFonts w:ascii="仿宋_GB2312" w:eastAsia="仿宋_GB2312" w:cs="仿宋_GB2312" w:hint="eastAsia"/>
          <w:sz w:val="32"/>
          <w:szCs w:val="32"/>
        </w:rPr>
        <w:t>万元，其中：财政拨款收入</w:t>
      </w:r>
      <w:r>
        <w:rPr>
          <w:rFonts w:ascii="仿宋_GB2312" w:eastAsia="仿宋_GB2312" w:cs="仿宋_GB2312" w:hint="eastAsia"/>
          <w:sz w:val="32"/>
          <w:szCs w:val="32"/>
          <w:lang w:val="en-US" w:eastAsia="zh-CN"/>
        </w:rPr>
        <w:t>555</w:t>
      </w:r>
      <w:r>
        <w:rPr>
          <w:rFonts w:ascii="仿宋_GB2312" w:cs="仿宋_GB2312" w:hAnsi="仿宋_GB2312"/>
          <w:sz w:val="32"/>
          <w:szCs w:val="32"/>
          <w:lang w:val="en-US" w:eastAsia="zh-CN"/>
        </w:rPr>
        <w:t>.</w:t>
      </w:r>
      <w:r>
        <w:rPr>
          <w:rFonts w:ascii="仿宋_GB2312" w:eastAsia="仿宋_GB2312" w:cs="仿宋_GB2312" w:hint="eastAsia"/>
          <w:sz w:val="32"/>
          <w:szCs w:val="32"/>
          <w:lang w:val="en-US" w:eastAsia="zh-CN"/>
        </w:rPr>
        <w:t>53</w:t>
      </w:r>
      <w:r>
        <w:rPr>
          <w:rFonts w:ascii="仿宋_GB2312" w:eastAsia="仿宋_GB2312" w:cs="仿宋_GB2312" w:hint="eastAsia"/>
          <w:sz w:val="32"/>
          <w:szCs w:val="32"/>
        </w:rPr>
        <w:t>万元，占比</w:t>
      </w:r>
      <w:r>
        <w:rPr>
          <w:rFonts w:ascii="仿宋_GB2312" w:eastAsia="仿宋_GB2312" w:cs="仿宋_GB2312" w:hint="eastAsia"/>
          <w:sz w:val="32"/>
          <w:szCs w:val="32"/>
          <w:lang w:val="en-US" w:eastAsia="zh-CN"/>
        </w:rPr>
        <w:t>100</w:t>
      </w:r>
      <w:r>
        <w:rPr>
          <w:rFonts w:ascii="仿宋_GB2312" w:eastAsia="仿宋_GB2312" w:cs="仿宋_GB2312" w:hint="eastAsia"/>
          <w:sz w:val="32"/>
          <w:szCs w:val="32"/>
        </w:rPr>
        <w:t>%。</w:t>
      </w:r>
    </w:p>
    <w:p>
      <w:pPr>
        <w:spacing w:line="580" w:lineRule="exact"/>
        <w:ind w:firstLine="640"/>
        <w:rPr>
          <w:rFonts w:ascii="仿宋_GB2312" w:eastAsia="仿宋_GB2312" w:cs="仿宋_GB2312" w:hint="eastAsia"/>
          <w:sz w:val="32"/>
          <w:szCs w:val="32"/>
        </w:rPr>
      </w:pPr>
      <w:r>
        <w:rPr>
          <w:rFonts w:ascii="仿宋_GB2312" w:eastAsia="仿宋_GB2312" w:cs="仿宋_GB2312" w:hint="eastAsia"/>
          <w:sz w:val="32"/>
          <w:szCs w:val="32"/>
        </w:rPr>
        <w:t>202</w:t>
      </w:r>
      <w:r>
        <w:rPr>
          <w:rFonts w:ascii="仿宋_GB2312" w:eastAsia="仿宋_GB2312" w:cs="仿宋_GB2312" w:hint="eastAsia"/>
          <w:sz w:val="32"/>
          <w:szCs w:val="32"/>
          <w:lang w:val="en-US" w:eastAsia="zh-CN"/>
        </w:rPr>
        <w:t>1</w:t>
      </w:r>
      <w:r>
        <w:rPr>
          <w:rFonts w:ascii="仿宋_GB2312" w:eastAsia="仿宋_GB2312" w:cs="仿宋_GB2312" w:hint="eastAsia"/>
          <w:sz w:val="32"/>
          <w:szCs w:val="32"/>
        </w:rPr>
        <w:t>年度支出合计</w:t>
      </w:r>
      <w:r>
        <w:rPr>
          <w:rFonts w:ascii="仿宋_GB2312" w:eastAsia="仿宋_GB2312" w:cs="仿宋_GB2312" w:hint="eastAsia"/>
          <w:sz w:val="32"/>
          <w:szCs w:val="32"/>
          <w:lang w:val="en-US" w:eastAsia="zh-CN"/>
        </w:rPr>
        <w:t>555</w:t>
      </w:r>
      <w:r>
        <w:rPr>
          <w:rFonts w:ascii="仿宋_GB2312" w:cs="仿宋_GB2312" w:hAnsi="仿宋_GB2312"/>
          <w:sz w:val="32"/>
          <w:szCs w:val="32"/>
          <w:lang w:val="en-US" w:eastAsia="zh-CN"/>
        </w:rPr>
        <w:t>.</w:t>
      </w:r>
      <w:r>
        <w:rPr>
          <w:rFonts w:ascii="仿宋_GB2312" w:eastAsia="仿宋_GB2312" w:cs="仿宋_GB2312" w:hint="eastAsia"/>
          <w:sz w:val="32"/>
          <w:szCs w:val="32"/>
          <w:lang w:val="en-US" w:eastAsia="zh-CN"/>
        </w:rPr>
        <w:t>53</w:t>
      </w:r>
      <w:r>
        <w:rPr>
          <w:rFonts w:ascii="仿宋_GB2312" w:cs="仿宋_GB2312" w:hAnsi="仿宋_GB2312" w:hint="eastAsia"/>
          <w:sz w:val="32"/>
          <w:szCs w:val="32"/>
          <w:lang w:val="en-US" w:eastAsia="zh-CN"/>
        </w:rPr>
        <w:t>万</w:t>
      </w:r>
      <w:r>
        <w:rPr>
          <w:rFonts w:ascii="仿宋_GB2312" w:eastAsia="仿宋_GB2312" w:cs="仿宋_GB2312" w:hint="eastAsia"/>
          <w:sz w:val="32"/>
          <w:szCs w:val="32"/>
        </w:rPr>
        <w:t>元，其中：基本支出</w:t>
      </w:r>
      <w:r>
        <w:rPr>
          <w:rFonts w:ascii="仿宋_GB2312" w:eastAsia="仿宋_GB2312" w:cs="仿宋_GB2312" w:hint="eastAsia"/>
          <w:sz w:val="32"/>
          <w:szCs w:val="32"/>
          <w:lang w:val="en-US" w:eastAsia="zh-CN"/>
        </w:rPr>
        <w:t>341</w:t>
      </w:r>
      <w:r>
        <w:rPr>
          <w:rFonts w:ascii="仿宋_GB2312" w:cs="仿宋_GB2312" w:hAnsi="仿宋_GB2312"/>
          <w:sz w:val="32"/>
          <w:szCs w:val="32"/>
          <w:lang w:val="en-US" w:eastAsia="zh-CN"/>
        </w:rPr>
        <w:t>.</w:t>
      </w:r>
      <w:r>
        <w:rPr>
          <w:rFonts w:ascii="仿宋_GB2312" w:eastAsia="仿宋_GB2312" w:cs="仿宋_GB2312" w:hint="eastAsia"/>
          <w:sz w:val="32"/>
          <w:szCs w:val="32"/>
          <w:lang w:val="en-US" w:eastAsia="zh-CN"/>
        </w:rPr>
        <w:t>09</w:t>
      </w:r>
      <w:r>
        <w:rPr>
          <w:rFonts w:ascii="仿宋_GB2312" w:cs="仿宋_GB2312" w:hAnsi="仿宋_GB2312" w:hint="eastAsia"/>
          <w:sz w:val="32"/>
          <w:szCs w:val="32"/>
          <w:lang w:val="en-US" w:eastAsia="zh-CN"/>
        </w:rPr>
        <w:t>万</w:t>
      </w:r>
      <w:r>
        <w:rPr>
          <w:rFonts w:ascii="仿宋_GB2312" w:eastAsia="仿宋_GB2312" w:cs="仿宋_GB2312" w:hint="eastAsia"/>
          <w:sz w:val="32"/>
          <w:szCs w:val="32"/>
        </w:rPr>
        <w:t>元，占比</w:t>
      </w:r>
      <w:r>
        <w:rPr>
          <w:rFonts w:ascii="仿宋_GB2312" w:cs="仿宋_GB2312" w:hAnsi="仿宋_GB2312"/>
          <w:sz w:val="32"/>
          <w:szCs w:val="32"/>
          <w:lang w:val="en-US" w:eastAsia="zh-CN"/>
        </w:rPr>
        <w:t>61</w:t>
      </w:r>
      <w:r>
        <w:rPr>
          <w:rFonts w:ascii="仿宋_GB2312" w:eastAsia="仿宋_GB2312" w:cs="仿宋_GB2312" w:hint="eastAsia"/>
          <w:sz w:val="32"/>
          <w:szCs w:val="32"/>
        </w:rPr>
        <w:t>%；项目支出</w:t>
      </w:r>
      <w:r>
        <w:rPr>
          <w:rFonts w:ascii="仿宋_GB2312" w:eastAsia="仿宋_GB2312" w:cs="仿宋_GB2312" w:hint="eastAsia"/>
          <w:sz w:val="32"/>
          <w:szCs w:val="32"/>
          <w:lang w:val="en-US" w:eastAsia="zh-CN"/>
        </w:rPr>
        <w:t>214</w:t>
      </w:r>
      <w:r>
        <w:rPr>
          <w:rFonts w:ascii="仿宋_GB2312" w:cs="仿宋_GB2312" w:hAnsi="仿宋_GB2312"/>
          <w:sz w:val="32"/>
          <w:szCs w:val="32"/>
          <w:lang w:val="en-US" w:eastAsia="zh-CN"/>
        </w:rPr>
        <w:t>.</w:t>
      </w:r>
      <w:r>
        <w:rPr>
          <w:rFonts w:ascii="仿宋_GB2312" w:eastAsia="仿宋_GB2312" w:cs="仿宋_GB2312" w:hint="eastAsia"/>
          <w:sz w:val="32"/>
          <w:szCs w:val="32"/>
          <w:lang w:val="en-US" w:eastAsia="zh-CN"/>
        </w:rPr>
        <w:t>44</w:t>
      </w:r>
      <w:r>
        <w:rPr>
          <w:rFonts w:ascii="仿宋_GB2312" w:cs="仿宋_GB2312" w:hAnsi="仿宋_GB2312" w:hint="eastAsia"/>
          <w:sz w:val="32"/>
          <w:szCs w:val="32"/>
          <w:lang w:val="en-US" w:eastAsia="zh-CN"/>
        </w:rPr>
        <w:t>万</w:t>
      </w:r>
      <w:r>
        <w:rPr>
          <w:rFonts w:ascii="仿宋_GB2312" w:eastAsia="仿宋_GB2312" w:cs="仿宋_GB2312" w:hint="eastAsia"/>
          <w:sz w:val="32"/>
          <w:szCs w:val="32"/>
        </w:rPr>
        <w:t>元，占比</w:t>
      </w:r>
      <w:r>
        <w:rPr>
          <w:rFonts w:ascii="仿宋_GB2312" w:cs="仿宋_GB2312" w:hAnsi="仿宋_GB2312"/>
          <w:sz w:val="32"/>
          <w:szCs w:val="32"/>
          <w:lang w:val="en-US" w:eastAsia="zh-CN"/>
        </w:rPr>
        <w:t>39</w:t>
      </w:r>
      <w:r>
        <w:rPr>
          <w:rFonts w:ascii="仿宋_GB2312" w:eastAsia="仿宋_GB2312" w:cs="仿宋_GB2312" w:hint="eastAsia"/>
          <w:sz w:val="32"/>
          <w:szCs w:val="32"/>
        </w:rPr>
        <w:t>%。</w:t>
      </w:r>
    </w:p>
    <w:p>
      <w:pPr>
        <w:spacing w:line="580" w:lineRule="exact"/>
        <w:ind w:firstLine="640"/>
        <w:rPr>
          <w:rFonts w:ascii="仿宋_GB2312" w:eastAsia="仿宋_GB2312" w:cs="仿宋_GB2312" w:hint="eastAsia"/>
          <w:sz w:val="32"/>
          <w:szCs w:val="32"/>
          <w:lang w:val="en-US" w:eastAsia="zh-CN"/>
        </w:rPr>
      </w:pPr>
      <w:r>
        <w:rPr>
          <w:rFonts w:ascii="仿宋_GB2312" w:eastAsia="仿宋_GB2312" w:cs="仿宋_GB2312" w:hint="eastAsia"/>
          <w:b w:val="0"/>
          <w:bCs w:val="0"/>
          <w:sz w:val="32"/>
          <w:szCs w:val="32"/>
        </w:rPr>
        <w:t>2021年度财政拨款支出555.53万元，主要用于以下方面：一般公共服务（类）支出487.87万元，占87.8%；社会保障和就业（类）支出36.50万元，占6.6%；住房保障（类）支出26.46万元，占4.8%；其他支出4.70万元，占0.8%。</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rPr>
          <w:rFonts w:ascii="仿宋_GB2312" w:eastAsia="仿宋_GB2312" w:cs="仿宋_GB2312" w:hint="eastAsia"/>
          <w:b/>
          <w:bCs/>
          <w:sz w:val="32"/>
          <w:szCs w:val="32"/>
        </w:rPr>
      </w:pPr>
      <w:r>
        <w:rPr>
          <w:rFonts w:ascii="仿宋_GB2312" w:eastAsia="仿宋_GB2312" w:cs="仿宋_GB2312" w:hint="eastAsia"/>
          <w:b/>
          <w:bCs/>
          <w:sz w:val="32"/>
          <w:szCs w:val="32"/>
        </w:rPr>
        <w:t>二、部门（单位）整体支出绩效实现情况</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rPr>
          <w:rFonts w:ascii="仿宋_GB2312" w:eastAsia="仿宋_GB2312" w:cs="仿宋_GB2312" w:hint="eastAsia"/>
          <w:b/>
          <w:bCs/>
          <w:sz w:val="32"/>
          <w:szCs w:val="32"/>
        </w:rPr>
      </w:pPr>
      <w:r>
        <w:rPr>
          <w:rFonts w:ascii="仿宋_GB2312" w:eastAsia="仿宋_GB2312" w:cs="仿宋_GB2312" w:hint="eastAsia"/>
          <w:b/>
          <w:bCs/>
          <w:sz w:val="32"/>
          <w:szCs w:val="32"/>
        </w:rPr>
        <w:t>（一）履职完成情况：</w:t>
      </w:r>
    </w:p>
    <w:p>
      <w:pPr>
        <w:pStyle w:val="15"/>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1、健全制度，规范管理，确保各项工作顺利开展。</w:t>
      </w:r>
    </w:p>
    <w:p>
      <w:pPr>
        <w:pStyle w:val="15"/>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2、规范财务行为，管好固定资产，做到全方位节约开支。</w:t>
      </w:r>
    </w:p>
    <w:p>
      <w:pPr>
        <w:pStyle w:val="15"/>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3、根据预算合理运用资金，提升服务水平，创造清新的办公环境。</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rPr>
          <w:rFonts w:ascii="仿宋_GB2312" w:eastAsia="仿宋_GB2312" w:cs="仿宋_GB2312" w:hint="eastAsia"/>
          <w:sz w:val="32"/>
          <w:szCs w:val="32"/>
        </w:rPr>
      </w:pPr>
      <w:r>
        <w:rPr>
          <w:rFonts w:ascii="仿宋_GB2312" w:eastAsia="仿宋_GB2312" w:cs="仿宋_GB2312" w:hint="eastAsia"/>
          <w:b/>
          <w:bCs/>
          <w:sz w:val="32"/>
          <w:szCs w:val="32"/>
        </w:rPr>
        <w:t>（二）履职效果情况：</w:t>
      </w:r>
    </w:p>
    <w:p>
      <w:pPr>
        <w:keepNext w:val="0"/>
        <w:keepLines w:val="0"/>
        <w:pageBreakBefore w:val="0"/>
        <w:widowControl w:val="0"/>
        <w:shd w:val="clear" w:color="auto" w:fill="auto"/>
        <w:kinsoku/>
        <w:wordWrap/>
        <w:overflowPunct/>
        <w:topLinePunct w:val="0"/>
        <w:autoSpaceDE/>
        <w:autoSpaceDN/>
        <w:bidi w:val="0"/>
        <w:adjustRightInd/>
        <w:snapToGrid/>
        <w:spacing w:line="579" w:lineRule="exact"/>
        <w:ind w:firstLineChars="200" w:firstLine="640"/>
        <w:textAlignment w:val="auto"/>
        <w:rPr>
          <w:rFonts w:ascii="仿宋_GB2312" w:eastAsia="仿宋_GB2312" w:cs="仿宋_GB2312" w:hint="eastAsia"/>
          <w:i w:val="0"/>
          <w:caps w:val="0"/>
          <w:smallCaps w:val="0"/>
          <w:color w:val="000000"/>
          <w:spacing w:val="0"/>
          <w:sz w:val="32"/>
          <w:szCs w:val="32"/>
          <w:shd w:val="clear" w:color="auto" w:fill="FFFFFF"/>
          <w14:textFill>
            <w14:solidFill>
              <w14:srgbClr w14:val="000000"/>
            </w14:solidFill>
          </w14:textFill>
          <w:lang w:val="en-US" w:eastAsia="zh-CN"/>
        </w:rPr>
      </w:pPr>
      <w:r>
        <w:rPr>
          <w:rFonts w:ascii="仿宋_GB2312" w:eastAsia="仿宋_GB2312" w:cs="仿宋_GB2312" w:hint="eastAsia"/>
          <w:i w:val="0"/>
          <w:caps w:val="0"/>
          <w:smallCaps w:val="0"/>
          <w:color w:val="000000"/>
          <w:spacing w:val="0"/>
          <w:sz w:val="32"/>
          <w:szCs w:val="32"/>
          <w:shd w:val="clear" w:color="auto" w:fill="FFFFFF"/>
          <w14:textFill>
            <w14:solidFill>
              <w14:srgbClr w14:val="000000"/>
            </w14:solidFill>
          </w14:textFill>
          <w:lang w:val="en-US" w:eastAsia="zh-CN"/>
        </w:rPr>
        <w:t>深入学习践行“五个坚持”，突出“高标准、严要求、实干绩”导向，大力弘扬求真务实作风，对各组室、各岗位的职责任务、目标要求进行量化分解，切实做到分工明确、任务具体、各尽其职、各负其责；办公室各项工作既有分工、又有协作，始终保持高效快速有序运转，积极辅助领导决策。</w:t>
      </w:r>
    </w:p>
    <w:p>
      <w:pPr>
        <w:numPr>
          <w:ilvl w:val="0"/>
          <w:numId w:val="2"/>
        </w:numPr>
        <w:spacing w:line="560" w:lineRule="exact"/>
        <w:ind w:left="0" w:firstLineChars="200" w:firstLine="640"/>
        <w:rPr>
          <w:rFonts w:ascii="仿宋_GB2312" w:eastAsia="仿宋_GB2312" w:cs="仿宋_GB2312" w:hint="eastAsia"/>
          <w:b/>
          <w:bCs/>
          <w:sz w:val="32"/>
          <w:szCs w:val="32"/>
        </w:rPr>
      </w:pPr>
      <w:r>
        <w:rPr>
          <w:rFonts w:ascii="仿宋_GB2312" w:eastAsia="仿宋_GB2312" w:cs="仿宋_GB2312" w:hint="eastAsia"/>
          <w:b/>
          <w:bCs/>
          <w:sz w:val="32"/>
          <w:szCs w:val="32"/>
        </w:rPr>
        <w:t>社会满意度：</w:t>
      </w:r>
    </w:p>
    <w:p>
      <w:pPr>
        <w:spacing w:line="560" w:lineRule="exact"/>
        <w:ind w:left="0" w:firstLineChars="200" w:firstLine="640"/>
        <w:rPr>
          <w:rFonts w:ascii="仿宋_GB2312" w:eastAsia="仿宋_GB2312" w:cs="仿宋_GB2312" w:hint="eastAsia"/>
          <w:sz w:val="32"/>
          <w:szCs w:val="32"/>
          <w:lang w:val="en-US" w:eastAsia="zh-CN"/>
        </w:rPr>
      </w:pPr>
      <w:r>
        <w:rPr>
          <w:rFonts w:ascii="仿宋_GB2312" w:eastAsia="仿宋_GB2312" w:cs="仿宋_GB2312" w:hint="eastAsia"/>
          <w:sz w:val="32"/>
          <w:szCs w:val="32"/>
        </w:rPr>
        <w:t>社会公众对部门（单位）履职的满意程度</w:t>
      </w:r>
      <w:r>
        <w:rPr>
          <w:rFonts w:ascii="仿宋_GB2312" w:eastAsia="仿宋_GB2312" w:cs="仿宋_GB2312" w:hint="eastAsia"/>
          <w:sz w:val="32"/>
          <w:szCs w:val="32"/>
          <w:lang w:val="en-US" w:eastAsia="zh-CN"/>
        </w:rPr>
        <w:t>基本满意</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表现在：以文辅政高质高效、综合协调严谨细致、秘书工作规范有序、督查督办扎实有力、金融服务精准直达、营商环境越来越优、值班值守保通保畅。</w:t>
      </w:r>
    </w:p>
    <w:p>
      <w:pPr>
        <w:spacing w:line="560" w:lineRule="exact"/>
        <w:ind w:firstLineChars="200" w:firstLine="640"/>
        <w:rPr>
          <w:rFonts w:ascii="仿宋_GB2312" w:eastAsia="仿宋_GB2312" w:cs="仿宋_GB2312" w:hint="eastAsia"/>
          <w:b/>
          <w:bCs/>
          <w:sz w:val="32"/>
          <w:szCs w:val="32"/>
        </w:rPr>
      </w:pPr>
      <w:r>
        <w:rPr>
          <w:rFonts w:ascii="仿宋_GB2312" w:eastAsia="仿宋_GB2312" w:cs="仿宋_GB2312" w:hint="eastAsia"/>
          <w:b/>
          <w:bCs/>
          <w:sz w:val="32"/>
          <w:szCs w:val="32"/>
        </w:rPr>
        <w:t>三、部门（单位）整体支出绩效中存在问题及改进措施</w:t>
      </w:r>
    </w:p>
    <w:p>
      <w:pPr>
        <w:spacing w:line="560" w:lineRule="exact"/>
        <w:ind w:firstLineChars="200" w:firstLine="640"/>
        <w:rPr>
          <w:rFonts w:ascii="仿宋_GB2312" w:eastAsia="仿宋_GB2312" w:cs="仿宋_GB2312" w:hint="eastAsia"/>
          <w:b/>
          <w:bCs/>
          <w:sz w:val="32"/>
          <w:szCs w:val="32"/>
        </w:rPr>
      </w:pPr>
      <w:r>
        <w:rPr>
          <w:rFonts w:ascii="仿宋_GB2312" w:eastAsia="仿宋_GB2312" w:cs="仿宋_GB2312" w:hint="eastAsia"/>
          <w:b/>
          <w:bCs/>
          <w:sz w:val="32"/>
          <w:szCs w:val="32"/>
        </w:rPr>
        <w:t>（一）主要问题及原因分析</w:t>
      </w:r>
    </w:p>
    <w:p>
      <w:pPr>
        <w:spacing w:line="560" w:lineRule="exact"/>
        <w:ind w:firstLineChars="200" w:firstLine="640"/>
        <w:rPr>
          <w:rFonts w:ascii="仿宋_GB2312" w:eastAsia="仿宋_GB2312" w:cs="仿宋_GB2312" w:hint="eastAsia"/>
          <w:i w:val="0"/>
          <w:iCs w:val="0"/>
          <w:caps w:val="0"/>
          <w:smallCaps w:val="0"/>
          <w:color w:val="333333"/>
          <w:spacing w:val="0"/>
          <w:kern w:val="0"/>
          <w:sz w:val="32"/>
          <w:szCs w:val="32"/>
          <w:shd w:val="clear" w:color="auto" w:fill="FFFFFF"/>
          <w:lang w:val="en-US" w:eastAsia="zh-CN"/>
        </w:rPr>
      </w:pPr>
      <w:r>
        <w:rPr>
          <w:rFonts w:ascii="仿宋_GB2312" w:eastAsia="仿宋_GB2312" w:cs="仿宋_GB2312" w:hint="eastAsia"/>
          <w:i w:val="0"/>
          <w:iCs w:val="0"/>
          <w:caps w:val="0"/>
          <w:smallCaps w:val="0"/>
          <w:color w:val="333333"/>
          <w:spacing w:val="0"/>
          <w:kern w:val="0"/>
          <w:sz w:val="32"/>
          <w:szCs w:val="32"/>
          <w:shd w:val="clear" w:color="auto" w:fill="FFFFFF"/>
          <w:lang w:val="en-US" w:eastAsia="zh-CN"/>
        </w:rPr>
        <w:t>1、预算编制应更科学、细化、精准。</w:t>
      </w:r>
    </w:p>
    <w:p>
      <w:pPr>
        <w:spacing w:line="560" w:lineRule="exact"/>
        <w:ind w:firstLineChars="200" w:firstLine="640"/>
        <w:rPr>
          <w:rFonts w:ascii="仿宋_GB2312" w:eastAsia="仿宋_GB2312" w:cs="仿宋_GB2312" w:hint="eastAsia"/>
          <w:i w:val="0"/>
          <w:iCs w:val="0"/>
          <w:caps w:val="0"/>
          <w:smallCaps w:val="0"/>
          <w:color w:val="333333"/>
          <w:spacing w:val="0"/>
          <w:kern w:val="0"/>
          <w:sz w:val="32"/>
          <w:szCs w:val="32"/>
          <w:shd w:val="clear" w:color="auto" w:fill="FFFFFF"/>
          <w:lang w:val="en-US" w:eastAsia="zh-CN"/>
        </w:rPr>
      </w:pPr>
      <w:r>
        <w:rPr>
          <w:rFonts w:ascii="仿宋_GB2312" w:eastAsia="仿宋_GB2312" w:cs="仿宋_GB2312" w:hint="eastAsia"/>
          <w:i w:val="0"/>
          <w:iCs w:val="0"/>
          <w:caps w:val="0"/>
          <w:smallCaps w:val="0"/>
          <w:color w:val="333333"/>
          <w:spacing w:val="0"/>
          <w:kern w:val="0"/>
          <w:sz w:val="32"/>
          <w:szCs w:val="32"/>
          <w:shd w:val="clear" w:color="auto" w:fill="FFFFFF"/>
          <w:lang w:val="en-US" w:eastAsia="zh-CN"/>
        </w:rPr>
        <w:t>2、固定资产管理有待加强。</w:t>
      </w:r>
    </w:p>
    <w:p>
      <w:pPr>
        <w:spacing w:line="560" w:lineRule="exact"/>
        <w:ind w:firstLineChars="200" w:firstLine="640"/>
        <w:rPr>
          <w:rFonts w:ascii="仿宋_GB2312" w:eastAsia="仿宋_GB2312" w:cs="仿宋_GB2312" w:hint="eastAsia"/>
          <w:sz w:val="32"/>
          <w:szCs w:val="32"/>
          <w:lang w:val="en-US" w:eastAsia="zh-CN"/>
        </w:rPr>
      </w:pPr>
      <w:r>
        <w:rPr>
          <w:rFonts w:ascii="仿宋_GB2312" w:eastAsia="仿宋_GB2312" w:cs="仿宋_GB2312" w:hint="eastAsia"/>
          <w:i w:val="0"/>
          <w:iCs w:val="0"/>
          <w:caps w:val="0"/>
          <w:smallCaps w:val="0"/>
          <w:color w:val="333333"/>
          <w:spacing w:val="0"/>
          <w:kern w:val="0"/>
          <w:sz w:val="32"/>
          <w:szCs w:val="32"/>
          <w:shd w:val="clear" w:color="auto" w:fill="FFFFFF"/>
          <w:lang w:val="en-US" w:eastAsia="zh-CN"/>
        </w:rPr>
        <w:t>3、对绩效评价工作的认识不够。还需进一步树牢“过紧日子”的思想，在节能降耗、减费节支方面要形成思想自觉和行动自觉。</w:t>
      </w:r>
    </w:p>
    <w:p>
      <w:pPr>
        <w:spacing w:line="560" w:lineRule="exact"/>
        <w:ind w:firstLineChars="200" w:firstLine="640"/>
        <w:rPr>
          <w:rFonts w:ascii="仿宋_GB2312" w:eastAsia="仿宋_GB2312" w:cs="仿宋_GB2312" w:hint="eastAsia"/>
          <w:b/>
          <w:bCs/>
          <w:sz w:val="32"/>
          <w:szCs w:val="32"/>
        </w:rPr>
      </w:pPr>
      <w:r>
        <w:rPr>
          <w:rFonts w:ascii="仿宋_GB2312" w:eastAsia="仿宋_GB2312" w:cs="仿宋_GB2312" w:hint="eastAsia"/>
          <w:b/>
          <w:bCs/>
          <w:sz w:val="32"/>
          <w:szCs w:val="32"/>
        </w:rPr>
        <w:t>（二）改进的方向和具体措施</w:t>
      </w:r>
    </w:p>
    <w:p>
      <w:pPr>
        <w:ind w:firstLineChars="200" w:firstLine="640"/>
        <w:rPr>
          <w:rFonts w:ascii="仿宋_GB2312" w:eastAsia="仿宋_GB2312" w:cs="仿宋_GB2312" w:hint="eastAsia"/>
          <w:color w:val="000000"/>
          <w:sz w:val="32"/>
          <w:szCs w:val="32"/>
          <w14:textFill>
            <w14:solidFill>
              <w14:srgbClr w14:val="000000"/>
            </w14:solidFill>
          </w14:textFill>
          <w:lang w:val="en-US" w:eastAsia="zh-CN"/>
        </w:rPr>
      </w:pPr>
      <w:r>
        <w:rPr>
          <w:rFonts w:ascii="仿宋_GB2312" w:eastAsia="仿宋_GB2312" w:cs="仿宋_GB2312" w:hint="eastAsia"/>
          <w:color w:val="000000"/>
          <w:sz w:val="32"/>
          <w:szCs w:val="32"/>
          <w14:textFill>
            <w14:solidFill>
              <w14:srgbClr w14:val="000000"/>
            </w14:solidFill>
          </w14:textFill>
          <w:lang w:val="en-US" w:eastAsia="zh-CN"/>
        </w:rPr>
        <w:t>一是要制定专项资金管理办法，规范专项资金的使用范围，严格执行专款专用，杜绝变相挤占、挪用或者超范围使用专项资金。加强对专项资金的监督和管理，资金支付应严格审核发票及收款人；二是科学制定年度绩效目标。年度绩效目标应结合单位职能、年度工作重点，细化量化可操作、可考核的绩效目标，要及时关注项目完成情况，在项目实施过程中发现存在的问题要及时处理或整改，促进项目达到预期设定的效果。三是根据绩效目标，合理编制年度预算。结合上一年度预算执行情况及本年度预算收支变化因素，根据部门具体绩效目标，科学编制本年度预算，力求精准，尽量减少调项和追加，保持预算执行的严肃性。</w:t>
      </w:r>
    </w:p>
    <w:p>
      <w:pPr>
        <w:ind w:firstLineChars="200" w:firstLine="640"/>
        <w:rPr>
          <w:rFonts w:ascii="仿宋_GB2312" w:eastAsia="仿宋_GB2312" w:cs="仿宋_GB2312" w:hint="eastAsia"/>
          <w:b/>
          <w:bCs/>
          <w:sz w:val="32"/>
          <w:szCs w:val="32"/>
        </w:rPr>
      </w:pPr>
      <w:r>
        <w:rPr>
          <w:rFonts w:ascii="仿宋_GB2312" w:eastAsia="仿宋_GB2312" w:cs="仿宋_GB2312" w:hint="eastAsia"/>
          <w:b/>
          <w:bCs/>
          <w:sz w:val="32"/>
          <w:szCs w:val="32"/>
        </w:rPr>
        <w:t>四、绩效自评结果拟应用和公开情况</w:t>
      </w:r>
    </w:p>
    <w:p>
      <w:pPr>
        <w:spacing w:line="560" w:lineRule="exact"/>
        <w:ind w:firstLineChars="200" w:firstLine="640"/>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针对自评中存在的问题，我办将加强与财政部门紧密配合，开展好整体支出及项目资金绩效管理工作，运用好绩效评价的结果，不断提升预算管理水平，并将结果及时通过政府网站予以公开。</w:t>
      </w:r>
    </w:p>
    <w:p>
      <w:pPr>
        <w:pStyle w:val="15"/>
        <w:rPr>
          <w:rFonts w:ascii="仿宋_GB2312" w:eastAsia="仿宋_GB2312" w:cs="仿宋_GB2312" w:hint="eastAsia"/>
          <w:sz w:val="32"/>
          <w:szCs w:val="32"/>
          <w:lang w:val="en-US" w:eastAsia="zh-CN"/>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1"/>
    <w:family w:val="auto"/>
    <w:pitch w:val="variable"/>
    <w:sig w:usb0="00000003" w:usb1="288F0000" w:usb2="00000006" w:usb3="00000000" w:csb0="00040001" w:csb1="00000000"/>
  </w:font>
  <w:font w:name="仿宋_GB2312">
    <w:altName w:val="仿宋"/>
    <w:panose1 w:val="02010609030101010101"/>
    <w:charset w:val="86"/>
    <w:family w:val="auto"/>
    <w:pitch w:val="variable"/>
    <w:sig w:usb0="00000000" w:usb1="00000000" w:usb2="00000000" w:usb3="00000000" w:csb0="00040000" w:csb1="00000000"/>
  </w:font>
  <w:font w:name="楷体">
    <w:panose1 w:val="02010609060101010101"/>
    <w:charset w:val="86"/>
    <w:family w:val="modern"/>
    <w:pitch w:val="variable"/>
    <w:sig w:usb0="800002BF" w:usb1="38CF7CFA" w:usb2="00000016" w:usb3="00000000" w:csb0="00040001" w:csb1="00000000"/>
  </w:font>
  <w:font w:name="Times New Roman">
    <w:panose1 w:val="02020603050405020304"/>
    <w:charset w:val="80"/>
    <w:family w:val="auto"/>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BA3CF9D"/>
    <w:multiLevelType w:val="singleLevel"/>
    <w:tmpl w:val="4BA3CF9D"/>
    <w:lvl w:ilvl="0">
      <w:start w:val="2"/>
      <w:numFmt w:val="chineseCounting"/>
      <w:lvlRestart w:val="0"/>
      <w:lvlText w:val="(%1)"/>
      <w:lvlJc w:val="left"/>
      <w:pPr>
        <w:ind w:left="0" w:hanging="0"/>
      </w:pPr>
      <w:rPr>
        <w:rFonts w:hint="eastAsia"/>
      </w:rPr>
    </w:lvl>
  </w:abstractNum>
  <w:abstractNum w:abstractNumId="1">
    <w:nsid w:val="7447218A"/>
    <w:multiLevelType w:val="singleLevel"/>
    <w:tmpl w:val="7447218A"/>
    <w:lvl w:ilvl="0">
      <w:start w:val="3"/>
      <w:numFmt w:val="chineseCounting"/>
      <w:lvlRestart w:val="0"/>
      <w:suff w:val="nothing"/>
      <w:lvlText w:val="（%1）"/>
      <w:lvlJc w:val="left"/>
      <w:pPr>
        <w:ind w:left="0" w:hanging="0"/>
      </w:pPr>
      <w:rPr>
        <w:rFonts w:hint="eastAsia"/>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OTIwNWRjOTA4OTJjYzQ3MTY0ZTc1ZDI3NGU2MThkN2Q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Times New Roman" w:eastAsia="黑体" w:hAnsi="Times New Roman"/>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customStyle="1" w:styleId="15">
    <w:name w:val="No Spacing_ad81b47b-6779-4c76-b471-79375858c8cb"/>
    <w:basedOn w:val="0"/>
    <w:pPr>
      <w:ind w:firstLineChars="200" w:firstLine="200"/>
    </w:pPr>
    <w:rPr>
      <w:rFonts w:ascii="Times New Roman" w:eastAsia="宋体" w:cs="Times New Roman" w:hAnsi="Times New Roman"/>
      <w:lang w:val="en-US" w:eastAsia="zh-CN" w:bidi="ar-SA"/>
    </w:rPr>
  </w:style>
  <w:style w:type="paragraph" w:styleId="16">
    <w:name w:val="Body Text"/>
    <w:basedOn w:val="0"/>
    <w:pPr>
      <w:spacing w:after="120" w:afterAutospacing="0"/>
    </w:pPr>
  </w:style>
  <w:style w:type="paragraph" w:styleId="17">
    <w:name w:val="Normal (Web)"/>
    <w:basedOn w:val="0"/>
    <w:pPr>
      <w:spacing w:before="100" w:beforeAutospacing="1" w:after="10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17</TotalTime>
  <Application>Yozo_Office27021597764231179</Application>
  <Pages>1</Pages>
  <Words>23</Words>
  <Characters>26</Characters>
  <Lines>2</Lines>
  <Paragraphs>2</Paragraphs>
  <CharactersWithSpaces>26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liubin</dc:creator>
  <cp:lastModifiedBy>greatwall</cp:lastModifiedBy>
  <cp:revision>1</cp:revision>
  <dcterms:created xsi:type="dcterms:W3CDTF">2022-02-17T02:03:00Z</dcterms:created>
  <dcterms:modified xsi:type="dcterms:W3CDTF">2024-01-29T11:28:09Z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2052-12.1.0.15673</vt:lpwstr>
  </property>
  <property fmtid="{D5CDD505-2E9C-101B-9397-08002B2CF9AE}" pid="3" name="ICV">
    <vt:lpwstr>347E3BE1C21E45058789CC9CBE74D1E6_13</vt:lpwstr>
  </property>
</Properties>
</file>