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left="737"/>
        <w:spacing w:before="111" w:line="219" w:lineRule="auto"/>
        <w:outlineLvl w:val="0"/>
        <w:rPr/>
      </w:pPr>
      <w:r>
        <w:rPr>
          <w:spacing w:val="-8"/>
        </w:rPr>
        <w:t>古 县 教 育 科</w:t>
      </w:r>
      <w:r>
        <w:rPr>
          <w:spacing w:val="-5"/>
        </w:rPr>
        <w:t xml:space="preserve"> </w:t>
      </w:r>
      <w:r>
        <w:rPr>
          <w:spacing w:val="-8"/>
        </w:rPr>
        <w:t>技 综</w:t>
      </w:r>
      <w:r>
        <w:rPr>
          <w:spacing w:val="-16"/>
        </w:rPr>
        <w:t xml:space="preserve"> </w:t>
      </w:r>
      <w:r>
        <w:rPr>
          <w:spacing w:val="-8"/>
        </w:rPr>
        <w:t>合 事 务</w:t>
      </w:r>
      <w:r>
        <w:rPr>
          <w:spacing w:val="-12"/>
        </w:rPr>
        <w:t xml:space="preserve"> </w:t>
      </w:r>
      <w:r>
        <w:rPr>
          <w:spacing w:val="-8"/>
        </w:rPr>
        <w:t>服</w:t>
      </w:r>
      <w:r>
        <w:rPr>
          <w:spacing w:val="-9"/>
        </w:rPr>
        <w:t xml:space="preserve"> </w:t>
      </w:r>
      <w:r>
        <w:rPr>
          <w:spacing w:val="-8"/>
        </w:rPr>
        <w:t>务 中 心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pStyle w:val="BodyText"/>
        <w:ind w:left="1491"/>
        <w:spacing w:before="110" w:line="217" w:lineRule="auto"/>
        <w:rPr/>
      </w:pPr>
      <w:r>
        <w:rPr>
          <w:spacing w:val="1"/>
        </w:rPr>
        <w:t>2 0 2 3</w:t>
      </w:r>
      <w:r>
        <w:rPr>
          <w:spacing w:val="-3"/>
        </w:rPr>
        <w:t xml:space="preserve"> </w:t>
      </w:r>
      <w:r>
        <w:rPr>
          <w:spacing w:val="1"/>
        </w:rPr>
        <w:t>年 度</w:t>
      </w:r>
      <w:r>
        <w:rPr>
          <w:spacing w:val="-8"/>
        </w:rPr>
        <w:t xml:space="preserve"> </w:t>
      </w:r>
      <w:r>
        <w:rPr>
          <w:spacing w:val="1"/>
        </w:rPr>
        <w:t>单</w:t>
      </w:r>
      <w:r>
        <w:rPr>
          <w:spacing w:val="-14"/>
        </w:rPr>
        <w:t xml:space="preserve"> </w:t>
      </w:r>
      <w:r>
        <w:rPr>
          <w:spacing w:val="1"/>
        </w:rPr>
        <w:t>位</w:t>
      </w:r>
      <w:r>
        <w:rPr>
          <w:spacing w:val="-12"/>
        </w:rPr>
        <w:t xml:space="preserve"> </w:t>
      </w:r>
      <w:r>
        <w:rPr>
          <w:spacing w:val="1"/>
        </w:rPr>
        <w:t>决</w:t>
      </w:r>
      <w:r>
        <w:rPr>
          <w:spacing w:val="-6"/>
        </w:rPr>
        <w:t xml:space="preserve"> </w:t>
      </w:r>
      <w:r>
        <w:rPr>
          <w:spacing w:val="1"/>
        </w:rPr>
        <w:t>算</w:t>
      </w:r>
      <w:r>
        <w:rPr>
          <w:spacing w:val="-15"/>
        </w:rPr>
        <w:t xml:space="preserve"> </w:t>
      </w:r>
      <w:r>
        <w:rPr>
          <w:spacing w:val="1"/>
        </w:rPr>
        <w:t>公</w:t>
      </w:r>
      <w:r>
        <w:rPr>
          <w:spacing w:val="-9"/>
        </w:rPr>
        <w:t xml:space="preserve"> </w:t>
      </w:r>
      <w:r>
        <w:rPr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/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5"/>
        <w:spacing w:before="272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古县教育科技综合事务服务中心主要职责是：贯彻国家和教育行政部门有关教学工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作的方针、政策。负责检查全县中小学贯彻</w:t>
      </w:r>
      <w:r>
        <w:rPr>
          <w:rFonts w:ascii="FangSong" w:hAnsi="FangSong" w:eastAsia="FangSong" w:cs="FangSong"/>
          <w:sz w:val="25"/>
          <w:szCs w:val="25"/>
          <w:spacing w:val="1"/>
        </w:rPr>
        <w:t>落实教育方针，执行教学计划，课程标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准和使用教材的情况。贯彻执行党的教育方</w:t>
      </w:r>
      <w:r>
        <w:rPr>
          <w:rFonts w:ascii="FangSong" w:hAnsi="FangSong" w:eastAsia="FangSong" w:cs="FangSong"/>
          <w:sz w:val="25"/>
          <w:szCs w:val="25"/>
          <w:spacing w:val="1"/>
        </w:rPr>
        <w:t>针和国家有关勤工俭学的方针政策和法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规，研究制定全县勤工俭学发展规划。负责</w:t>
      </w:r>
      <w:r>
        <w:rPr>
          <w:rFonts w:ascii="FangSong" w:hAnsi="FangSong" w:eastAsia="FangSong" w:cs="FangSong"/>
          <w:sz w:val="25"/>
          <w:szCs w:val="25"/>
          <w:spacing w:val="1"/>
        </w:rPr>
        <w:t>管理全县中小学校的实验教学，信息技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术教学，远程教育应用工作等。负责组织全县考生参加全国高校招生报名考试工</w:t>
      </w:r>
    </w:p>
    <w:p>
      <w:pPr>
        <w:ind w:left="706" w:right="937" w:firstLine="4"/>
        <w:spacing w:before="41" w:line="31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作。负责组织全县初中毕业生参加全省中等学校、高中、职中招生报名考试工作。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负责全县成人参加全国高等学校成人招生考试工作。负责以阵地为依托，以活动为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载体，以社会为舞台，以服务全县青少年为出发点，为青少年参加各类活动提供条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件。负责全县职业高中学历教育。负责全县职业技能培训。负责全县农村劳动力培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训。负责全县继续教育培训。负责全县学历教育培训。负责全县普通话测试与信息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技术等培训。负责全县省市学科带头人、骨干教师选拔考核。</w:t>
      </w:r>
    </w:p>
    <w:p>
      <w:pPr>
        <w:ind w:left="12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1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古县教育科技综合事务服务中心无内设机构。</w:t>
      </w:r>
    </w:p>
    <w:p>
      <w:pPr>
        <w:spacing w:line="222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部门名称：古县教育科技综合事务服务中心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7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789.63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6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607.66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109.52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43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72.44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3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4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9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4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8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0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9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43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5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部门名称：古县教育科技综合事务服务中心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865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3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2" w:line="210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759.38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2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2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2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2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1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237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4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5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397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6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2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160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42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789.63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759.38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6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6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6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607.66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577.41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6"/>
              <w:spacing w:before="79" w:line="183" w:lineRule="auto"/>
              <w:rPr/>
            </w:pPr>
            <w:r>
              <w:rPr>
                <w:color w:val="212529"/>
                <w:spacing w:val="-3"/>
              </w:rPr>
              <w:t>30.25</w:t>
            </w:r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109.52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6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38.35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129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7"/>
              <w:spacing w:before="129" w:line="184" w:lineRule="auto"/>
              <w:rPr/>
            </w:pPr>
            <w:r>
              <w:rPr>
                <w:color w:val="212529"/>
                <w:spacing w:val="-3"/>
              </w:rPr>
              <w:t>71.18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7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7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7"/>
              <w:spacing w:before="83" w:line="183" w:lineRule="auto"/>
              <w:rPr/>
            </w:pPr>
            <w:r>
              <w:rPr>
                <w:color w:val="212529"/>
                <w:spacing w:val="-3"/>
              </w:rPr>
              <w:t>72.44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0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81" w:type="dxa"/>
            <w:vAlign w:val="top"/>
            <w:gridSpan w:val="3"/>
          </w:tcPr>
          <w:p>
            <w:pPr>
              <w:ind w:left="140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85" w:type="dxa"/>
            <w:vAlign w:val="top"/>
            <w:gridSpan w:val="9"/>
          </w:tcPr>
          <w:p>
            <w:pPr>
              <w:ind w:left="480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1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675.55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294.72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3.96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161.17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3" w:right="91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0" w:right="40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71.18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32.29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4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72.44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6" w:right="74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38.35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8" w:right="69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10.13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2" w:right="69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16.23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3" w:right="74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5" w:right="85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99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75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7" w:right="74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57" w:type="dxa"/>
            <w:vAlign w:val="top"/>
            <w:gridSpan w:val="2"/>
          </w:tcPr>
          <w:p>
            <w:pPr>
              <w:pStyle w:val="TableText"/>
              <w:ind w:left="87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6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713.90</w:t>
            </w:r>
          </w:p>
        </w:tc>
        <w:tc>
          <w:tcPr>
            <w:tcW w:w="9311" w:type="dxa"/>
            <w:vAlign w:val="top"/>
            <w:gridSpan w:val="8"/>
          </w:tcPr>
          <w:p>
            <w:pPr>
              <w:pStyle w:val="TableText"/>
              <w:ind w:left="421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2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45.48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06"/>
        <w:gridCol w:w="1391"/>
        <w:gridCol w:w="1044"/>
        <w:gridCol w:w="1044"/>
        <w:gridCol w:w="1044"/>
        <w:gridCol w:w="1224"/>
        <w:gridCol w:w="1224"/>
        <w:gridCol w:w="1391"/>
        <w:gridCol w:w="1056"/>
        <w:gridCol w:w="1056"/>
        <w:gridCol w:w="1056"/>
        <w:gridCol w:w="1230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3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9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2" w:right="139" w:hanging="11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部门名称：古县教育科技综合事务服务</w:t>
            </w:r>
            <w:r>
              <w:rPr>
                <w:sz w:val="14"/>
                <w:szCs w:val="14"/>
                <w:color w:val="212529"/>
                <w:spacing w:val="8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7"/>
              </w:rPr>
              <w:t>中心</w:t>
            </w:r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6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22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206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01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86" w:right="108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32" w:type="dxa"/>
            <w:vAlign w:val="top"/>
            <w:gridSpan w:val="3"/>
          </w:tcPr>
          <w:p>
            <w:pPr>
              <w:ind w:left="46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3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22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41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91" w:type="dxa"/>
            <w:vAlign w:val="top"/>
            <w:vMerge w:val="restart"/>
            <w:tcBorders>
              <w:bottom w:val="nil"/>
            </w:tcBorders>
          </w:tcPr>
          <w:p>
            <w:pPr>
              <w:ind w:left="591" w:right="10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168" w:type="dxa"/>
            <w:vAlign w:val="top"/>
            <w:gridSpan w:val="3"/>
          </w:tcPr>
          <w:p>
            <w:pPr>
              <w:ind w:left="48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23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20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ind w:left="31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44" w:type="dxa"/>
            <w:vAlign w:val="top"/>
          </w:tcPr>
          <w:p>
            <w:pPr>
              <w:ind w:left="320" w:right="8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44" w:type="dxa"/>
            <w:vAlign w:val="top"/>
          </w:tcPr>
          <w:p>
            <w:pPr>
              <w:ind w:left="52" w:right="8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ind w:left="329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56" w:type="dxa"/>
            <w:vAlign w:val="top"/>
          </w:tcPr>
          <w:p>
            <w:pPr>
              <w:ind w:left="331" w:right="88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056" w:type="dxa"/>
            <w:vAlign w:val="top"/>
          </w:tcPr>
          <w:p>
            <w:pPr>
              <w:ind w:left="63" w:right="88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2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556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6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46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55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91" w:type="dxa"/>
            <w:vAlign w:val="top"/>
          </w:tcPr>
          <w:p>
            <w:pPr>
              <w:pStyle w:val="TableText"/>
              <w:ind w:left="63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4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230" w:type="dxa"/>
            <w:vAlign w:val="top"/>
          </w:tcPr>
          <w:p>
            <w:pPr>
              <w:pStyle w:val="TableText"/>
              <w:ind w:left="52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206" w:type="dxa"/>
            <w:vAlign w:val="top"/>
          </w:tcPr>
          <w:p>
            <w:pPr>
              <w:pStyle w:val="TableText"/>
              <w:ind w:left="814"/>
              <w:spacing w:before="141" w:line="184" w:lineRule="auto"/>
              <w:rPr/>
            </w:pPr>
            <w:r>
              <w:rPr>
                <w:color w:val="212529"/>
                <w:spacing w:val="-3"/>
              </w:rPr>
              <w:t>0.10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0.10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0.10</w:t>
            </w:r>
          </w:p>
        </w:tc>
        <w:tc>
          <w:tcPr>
            <w:tcW w:w="13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0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0.10</w:t>
            </w:r>
          </w:p>
        </w:tc>
      </w:tr>
    </w:tbl>
    <w:p>
      <w:pPr>
        <w:pStyle w:val="BodyText"/>
        <w:ind w:left="841"/>
        <w:spacing w:before="1" w:line="209" w:lineRule="auto"/>
        <w:rPr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20" w:line="198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195" w:lineRule="auto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sz w:val="18"/>
          <w:szCs w:val="18"/>
          <w:color w:val="212529"/>
          <w:spacing w:val="-1"/>
        </w:rPr>
        <w:t>度结</w:t>
      </w:r>
    </w:p>
    <w:p>
      <w:pPr>
        <w:pStyle w:val="BodyText"/>
        <w:ind w:left="842"/>
        <w:spacing w:line="220" w:lineRule="auto"/>
        <w:rPr>
          <w:sz w:val="18"/>
          <w:szCs w:val="18"/>
        </w:rPr>
      </w:pPr>
      <w:r>
        <w:rPr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单位名称：古县教育科技综合事务服务中心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8" w:right="913" w:firstLine="497"/>
        <w:spacing w:before="13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2023年度收入总计789.63万元，支出总计789.63万元。与上年相比，收入总计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减少26.68万元，下降3.27%，支出总计减少26.68万</w:t>
      </w:r>
      <w:r>
        <w:rPr>
          <w:rFonts w:ascii="FangSong" w:hAnsi="FangSong" w:eastAsia="FangSong" w:cs="FangSong"/>
          <w:sz w:val="25"/>
          <w:szCs w:val="25"/>
          <w:spacing w:val="1"/>
        </w:rPr>
        <w:t>元，下降3.27%。主要原因是人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员退休减少，人员工资减少。</w:t>
      </w:r>
    </w:p>
    <w:p>
      <w:pPr>
        <w:ind w:left="12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2023年度收入合计789.63万元，其中：</w:t>
      </w:r>
    </w:p>
    <w:p>
      <w:pPr>
        <w:ind w:left="1212" w:right="489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财政拨款收入789.63万元，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27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2023年度支出合计789.63万元，其中：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基本支出759.38万元，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占比96.17%；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项目支出30.25万元，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占比3.83%；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9" w:right="844" w:firstLine="496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2023年度财政拨款收入总计789.63万元，支出总计789.63万元。与上年相比，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财政拨款收入总计减少26.68万元，下</w:t>
      </w:r>
      <w:r>
        <w:rPr>
          <w:rFonts w:ascii="FangSong" w:hAnsi="FangSong" w:eastAsia="FangSong" w:cs="FangSong"/>
          <w:sz w:val="25"/>
          <w:szCs w:val="25"/>
        </w:rPr>
        <w:t>降3.27%；财政拨款支出总计减少26.68万元，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下降3.27%。主要原因是人员退休减少，人员工资减少。</w:t>
      </w:r>
    </w:p>
    <w:p>
      <w:pPr>
        <w:ind w:left="12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2023年一般公共预算财政拨款决算支出789.</w:t>
      </w:r>
      <w:r>
        <w:rPr>
          <w:rFonts w:ascii="FangSong" w:hAnsi="FangSong" w:eastAsia="FangSong" w:cs="FangSong"/>
          <w:sz w:val="25"/>
          <w:szCs w:val="25"/>
          <w:spacing w:val="-1"/>
        </w:rPr>
        <w:t>63万元，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793" w:firstLine="5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100.00%。与上年相比，一般公共预算财政拨款支出减少26.68万元，下降3.27%。主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要原因是人员退休减少，人员工资减少。</w:t>
      </w:r>
    </w:p>
    <w:p>
      <w:pPr>
        <w:ind w:left="12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748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2023年度一般公共预算财政拨款支出789.63万元，主要用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教育支出(类)607.66万元，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占比76.96%；</w:t>
      </w:r>
    </w:p>
    <w:p>
      <w:pPr>
        <w:ind w:left="12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社会保障和就业支出(类)109.52万元，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占比13</w:t>
      </w:r>
      <w:r>
        <w:rPr>
          <w:rFonts w:ascii="FangSong" w:hAnsi="FangSong" w:eastAsia="FangSong" w:cs="FangSong"/>
          <w:sz w:val="25"/>
          <w:szCs w:val="25"/>
          <w:spacing w:val="-2"/>
        </w:rPr>
        <w:t>.87%；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422" w:lineRule="auto"/>
        <w:rPr>
          <w:rFonts w:ascii="Arial"/>
          <w:sz w:val="21"/>
        </w:rPr>
      </w:pPr>
      <w:r/>
    </w:p>
    <w:p>
      <w:pPr>
        <w:ind w:left="12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住房保障支出(类)72.44万元，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占比9.17%。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93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2023年度一般公共预算财政拨款支出年初预算874.47万元，支出决算789.63万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元，完成年初预算的90.30%。其中：</w:t>
      </w:r>
    </w:p>
    <w:p>
      <w:pPr>
        <w:ind w:left="1210"/>
        <w:spacing w:before="4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教育支出年初预算685.41万元，支出决算607.66万元，完成年初预算的</w:t>
      </w:r>
    </w:p>
    <w:p>
      <w:pPr>
        <w:ind w:left="700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88.66%，用于人员工资、商品服务支出等，较2022年决算减少27.35万元，下降</w:t>
      </w:r>
    </w:p>
    <w:p>
      <w:pPr>
        <w:ind w:left="708" w:right="810" w:hanging="10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4.31%，主要原因是人员退休减少，工资减少；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社会保障和就业支出年初预算121.42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万元，支出决算109.52万元，完成年初预算的90.2%，用于退休人员取暖费、离休</w:t>
      </w:r>
    </w:p>
    <w:p>
      <w:pPr>
        <w:ind w:left="708" w:right="811" w:firstLine="6"/>
        <w:spacing w:before="44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费、机关养老保险支出，较2022年决算增加7.14万元，增加6.97%，主要原因是增加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了退休人员生活补贴支出支出；住房保障支出年初预算67.64万元，支出决算72.44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万元，完成年初预算的107.1%，用于在职人员住房公积金支出，较2022年决算减少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了6.48万元，减少了8.2%，主要原因是人员退休减少，公积金减少；</w:t>
      </w:r>
    </w:p>
    <w:p>
      <w:pPr>
        <w:ind w:left="1205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2023年度财政拨款基本支出759.38万元，其中：</w:t>
      </w:r>
    </w:p>
    <w:p>
      <w:pPr>
        <w:ind w:left="711" w:right="937" w:firstLine="503"/>
        <w:spacing w:before="128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人员经费713.90万元，主要包括基本工资，津贴，绩效，社会保障缴费，住房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公积金，退休人员取暖费等；</w:t>
      </w:r>
    </w:p>
    <w:p>
      <w:pPr>
        <w:ind w:left="1216"/>
        <w:spacing w:before="44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公用经费45.48万元，主要包括办公费、印刷费、工会经费、福利费等。</w:t>
      </w:r>
    </w:p>
    <w:p>
      <w:pPr>
        <w:ind w:left="1197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09" w:right="925" w:firstLine="496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”经费财政拨款支出全年预算0.10万元，支出</w:t>
      </w:r>
      <w:r>
        <w:rPr>
          <w:rFonts w:ascii="FangSong" w:hAnsi="FangSong" w:eastAsia="FangSong" w:cs="FangSong"/>
          <w:sz w:val="25"/>
          <w:szCs w:val="25"/>
        </w:rPr>
        <w:t>决算0.10万元，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比上年度增加0</w:t>
      </w:r>
      <w:r>
        <w:rPr>
          <w:rFonts w:ascii="FangSong" w:hAnsi="FangSong" w:eastAsia="FangSong" w:cs="FangSong"/>
          <w:sz w:val="25"/>
          <w:szCs w:val="25"/>
          <w:spacing w:val="-1"/>
        </w:rPr>
        <w:t>.10万元，增长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∞%，主要原因是：本单位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无“三公</w:t>
      </w:r>
      <w:r>
        <w:rPr>
          <w:rFonts w:ascii="FangSong" w:hAnsi="FangSong" w:eastAsia="FangSong" w:cs="FangSong"/>
          <w:sz w:val="25"/>
          <w:szCs w:val="25"/>
          <w:spacing w:val="-8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”经费支出。其中：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</w:t>
      </w:r>
    </w:p>
    <w:p>
      <w:pPr>
        <w:ind w:left="724"/>
        <w:spacing w:before="164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11" w:right="805" w:firstLine="504"/>
        <w:spacing w:before="13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</w:t>
      </w:r>
    </w:p>
    <w:p>
      <w:pPr>
        <w:ind w:left="724"/>
        <w:spacing w:before="166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07" w:right="1057" w:firstLine="508"/>
        <w:spacing w:before="135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</w:t>
      </w:r>
    </w:p>
    <w:p>
      <w:pPr>
        <w:spacing w:line="30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399" w:lineRule="auto"/>
        <w:rPr>
          <w:rFonts w:ascii="Arial"/>
          <w:sz w:val="21"/>
        </w:rPr>
      </w:pPr>
      <w:r/>
    </w:p>
    <w:p>
      <w:pPr>
        <w:ind w:left="724"/>
        <w:spacing w:before="81" w:line="174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;</w:t>
      </w:r>
    </w:p>
    <w:p>
      <w:pPr>
        <w:ind w:left="710" w:right="1309" w:firstLine="505"/>
        <w:spacing w:before="137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</w:rPr>
        <w:t>公务接待费支出0.10万元，完成全年预算的100.00%，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比上年度增加</w:t>
      </w:r>
      <w:r>
        <w:rPr>
          <w:rFonts w:ascii="FangSong" w:hAnsi="FangSong" w:eastAsia="FangSong" w:cs="FangSong"/>
          <w:sz w:val="25"/>
          <w:szCs w:val="25"/>
          <w:spacing w:val="-1"/>
        </w:rPr>
        <w:t>0.10万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∞%，主要原因是：本单位无公务接待费支出</w:t>
      </w:r>
    </w:p>
    <w:p>
      <w:pPr>
        <w:ind w:left="725"/>
        <w:spacing w:before="211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221"/>
        <w:spacing w:before="1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707" w:right="976" w:firstLine="494"/>
        <w:spacing w:before="13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4、公务接待费支出0.10万元，共接待3</w:t>
      </w:r>
      <w:r>
        <w:rPr>
          <w:rFonts w:ascii="FangSong" w:hAnsi="FangSong" w:eastAsia="FangSong" w:cs="FangSong"/>
          <w:sz w:val="25"/>
          <w:szCs w:val="25"/>
        </w:rPr>
        <w:t>批次，10人次。国内接待费0.10万元，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共接待3批次，10人次，其中外事接待费0万元，共接待0批次，0人次，主要是接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待本单位无公务接待费支出；国（境）外接待费0万元，共</w:t>
      </w:r>
      <w:r>
        <w:rPr>
          <w:rFonts w:ascii="FangSong" w:hAnsi="FangSong" w:eastAsia="FangSong" w:cs="FangSong"/>
          <w:sz w:val="25"/>
          <w:szCs w:val="25"/>
          <w:spacing w:val="1"/>
        </w:rPr>
        <w:t>接待国（境）外0批</w:t>
      </w:r>
    </w:p>
    <w:p>
      <w:pPr>
        <w:ind w:left="706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次，0人次，主要是本单位无国（境）外接待费支出。</w:t>
      </w:r>
    </w:p>
    <w:p>
      <w:pPr>
        <w:ind w:left="1201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ind w:left="707" w:right="1693"/>
        <w:spacing w:before="44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37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02"/>
        <w:spacing w:before="13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2023年二级项目绩效自评个数2个，涉及资金30.25万元：2个项目自评等级</w:t>
      </w:r>
    </w:p>
    <w:p>
      <w:pPr>
        <w:ind w:left="709" w:right="811" w:firstLine="6"/>
        <w:spacing w:before="129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”。</w:t>
      </w:r>
    </w:p>
    <w:p>
      <w:pPr>
        <w:spacing w:line="305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78" w:lineRule="auto"/>
        <w:rPr>
          <w:rFonts w:ascii="Arial"/>
          <w:sz w:val="21"/>
        </w:rPr>
      </w:pPr>
      <w:r/>
    </w:p>
    <w:p>
      <w:pPr>
        <w:ind w:left="717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9" w:right="6860" w:firstLine="496"/>
        <w:spacing w:before="127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无</w:t>
      </w:r>
    </w:p>
    <w:p>
      <w:pPr>
        <w:spacing w:line="306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7"/>
      <w:bookmarkEnd w:id="67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十五、住房和保障支出：集中反映政府用于住房方面的支出</w:t>
      </w:r>
    </w:p>
    <w:p>
      <w:pPr>
        <w:ind w:left="4529"/>
        <w:spacing w:before="167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8"/>
      <w:bookmarkEnd w:id="68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/>
      </w:pPr>
    </w:p>
    <w:p>
      <w:pPr>
        <w:spacing w:line="467" w:lineRule="auto"/>
        <w:rPr>
          <w:rFonts w:ascii="Arial"/>
          <w:sz w:val="21"/>
        </w:rPr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4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0" w:lineRule="auto"/>
      <w:rPr>
        <w:sz w:val="16"/>
        <w:szCs w:val="16"/>
      </w:rPr>
    </w:pPr>
    <w:r>
      <w:rPr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1" w:lineRule="auto"/>
      <w:rPr>
        <w:sz w:val="16"/>
        <w:szCs w:val="16"/>
      </w:rPr>
    </w:pPr>
    <w:r>
      <w:rPr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6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1" w:lineRule="auto"/>
      <w:rPr>
        <w:sz w:val="16"/>
        <w:szCs w:val="16"/>
      </w:rPr>
    </w:pPr>
    <w:r>
      <w:rPr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286"/>
      <w:spacing w:line="172" w:lineRule="auto"/>
      <w:rPr>
        <w:sz w:val="16"/>
        <w:szCs w:val="16"/>
      </w:rPr>
    </w:pPr>
    <w:r>
      <w:rPr>
        <w:sz w:val="16"/>
        <w:szCs w:val="16"/>
        <w:spacing w:val="-10"/>
      </w:rPr>
      <w:t>-21-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1"/>
        <w:position w:val="1"/>
      </w:rPr>
      <w:t>古县教育科技综合事务服务中心2023年</w:t>
    </w:r>
    <w:r>
      <w:rPr>
        <w:sz w:val="16"/>
        <w:szCs w:val="16"/>
        <w:spacing w:val="-2"/>
        <w:position w:val="1"/>
      </w:rPr>
      <w:t>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0"/>
      <w:spacing w:before="1" w:line="210" w:lineRule="exact"/>
      <w:rPr>
        <w:sz w:val="16"/>
        <w:szCs w:val="16"/>
      </w:rPr>
    </w:pPr>
    <w:r>
      <w:rPr>
        <w:sz w:val="16"/>
        <w:szCs w:val="16"/>
        <w:spacing w:val="-1"/>
        <w:position w:val="1"/>
      </w:rPr>
      <w:t>古县教育科技综合事务服务中心2023年</w:t>
    </w:r>
    <w:r>
      <w:rPr>
        <w:sz w:val="16"/>
        <w:szCs w:val="16"/>
        <w:spacing w:val="-2"/>
        <w:position w:val="1"/>
      </w:rPr>
      <w:t>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4"/>
      <w:szCs w:val="3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8" Type="http://schemas.openxmlformats.org/officeDocument/2006/relationships/fontTable" Target="fontTable.xml"/><Relationship Id="rId27" Type="http://schemas.openxmlformats.org/officeDocument/2006/relationships/styles" Target="styles.xml"/><Relationship Id="rId26" Type="http://schemas.openxmlformats.org/officeDocument/2006/relationships/settings" Target="settings.xml"/><Relationship Id="rId25" Type="http://schemas.openxmlformats.org/officeDocument/2006/relationships/image" Target="media/image2.jpeg"/><Relationship Id="rId24" Type="http://schemas.openxmlformats.org/officeDocument/2006/relationships/footer" Target="footer21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2024-09-05T11:31:31Z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2024-09-20T10:37:32</vt:filetime>
  </property>
</Properties>
</file>