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附件5</w:t>
      </w:r>
    </w:p>
    <w:p>
      <w:pPr>
        <w:spacing w:before="100" w:line="345" w:lineRule="auto"/>
        <w:jc w:val="center"/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  <w:t>古县总体目标及年度分解任务表</w:t>
      </w:r>
    </w:p>
    <w:bookmarkEnd w:id="0"/>
    <w:tbl>
      <w:tblPr>
        <w:tblStyle w:val="4"/>
        <w:tblW w:w="8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2565"/>
        <w:gridCol w:w="1934"/>
        <w:gridCol w:w="1581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2022年底数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2023年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2024年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约束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指标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县城综合商贸服务中心数量1个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县级物流配送中心数量0个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新建数1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续建数1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覆盖率100%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乡镇商贸中心数量2、覆盖率33.3%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改建数提升3家 覆盖率100%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村级便民商店数量42、覆盖率66%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改建数13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覆盖率87.3%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覆盖率92.1%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“快递进村”数量42、覆盖率66%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改建数13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覆盖率87.3%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覆盖率92.1%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改建数5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覆盖率100%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县域物流共同配送率0，尚未开始共同配送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配送率10%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配送率30%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自选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指标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县域社会消费品零售额、年增速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乡镇集贸市场建设改造数量、占比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县域商贸流通服务系统覆盖县数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培育县域商业流通服务人才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20个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20个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培育县域商业新兴市场主体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2个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2个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GIzNGI5NjVkNzhjZWJlY2E5YmE0OTdlNmM3OTcifQ=="/>
  </w:docVars>
  <w:rsids>
    <w:rsidRoot w:val="00000000"/>
    <w:rsid w:val="27CA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2024-04-10T02:58:17Z</dcterms:created>
  <dc:creator>Lenovo</dc:creator>
  <cp:lastModifiedBy>Lenovo</cp:lastModifiedBy>
  <dcterms:modified xsi:type="dcterms:W3CDTF">2024-04-10T02:58:26Z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F6303A7652A64AAA82364946518DAB66_12</vt:lpwstr>
  </property>
</Properties>
</file>