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721"/>
        <w:spacing w:before="110" w:line="217" w:lineRule="auto"/>
        <w:outlineLvl w:val="0"/>
        <w:rPr/>
      </w:pPr>
      <w:r>
        <w:rPr>
          <w:spacing w:val="-8"/>
        </w:rPr>
        <w:t>古 县 文 物 旅 游</w:t>
      </w:r>
      <w:r>
        <w:rPr>
          <w:spacing w:val="-10"/>
        </w:rPr>
        <w:t xml:space="preserve"> </w:t>
      </w:r>
      <w:r>
        <w:rPr>
          <w:spacing w:val="-8"/>
        </w:rPr>
        <w:t>服</w:t>
      </w:r>
      <w:r>
        <w:rPr>
          <w:spacing w:val="-9"/>
        </w:rPr>
        <w:t xml:space="preserve"> </w:t>
      </w:r>
      <w:r>
        <w:rPr>
          <w:spacing w:val="-8"/>
        </w:rPr>
        <w:t>务 中 心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252"/>
        <w:spacing w:before="27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贯彻实施国家及全省有关文物、旅游管理的法律、法规；研究拟定我县文物旅游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业发展规划，并监督实施；指导协调文物旅游资源的开发、利用、保护和旅游设施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建设；对旅游景区、景点开发建设规划和景区旅游发展规划进行审查、指导和管</w:t>
      </w:r>
    </w:p>
    <w:p>
      <w:pPr>
        <w:ind w:left="708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理；组织旅游资源的普查工作；指导和组织旅游统计工作。</w:t>
      </w:r>
    </w:p>
    <w:p>
      <w:pPr>
        <w:ind w:left="710" w:right="969" w:firstLine="37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组织旅游宣传，开发国际、国内旅游客源市场，指导各景区的旅游宣传促销工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作，会同有关部门协调全县旅游交通，指导旅游商品开发、销售和旅游安全工作。</w:t>
      </w:r>
    </w:p>
    <w:p>
      <w:pPr>
        <w:ind w:left="1208"/>
        <w:spacing w:before="188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7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根据主要职责，古县文物旅游服务中心设2个内设机构，分别是：综合股、业务股。</w:t>
      </w:r>
    </w:p>
    <w:p>
      <w:pPr>
        <w:spacing w:line="222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部门名称：古县文物旅游服务中心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641.89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207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61.46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603.36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20.04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0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61.46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18.34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0.15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部门名称：古县文物旅游服务中心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 w:right="28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603.36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603.36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0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562.23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562.23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60.62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60.62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其他文化和旅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游支出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501.61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501.61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20702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1" w:line="221" w:lineRule="auto"/>
              <w:rPr/>
            </w:pPr>
            <w:r>
              <w:rPr>
                <w:color w:val="212529"/>
                <w:spacing w:val="-5"/>
              </w:rPr>
              <w:t>文物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2070204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文物保护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2070299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1" w:line="220" w:lineRule="auto"/>
              <w:rPr/>
            </w:pPr>
            <w:r>
              <w:rPr>
                <w:color w:val="212529"/>
                <w:spacing w:val="-2"/>
              </w:rPr>
              <w:t>其他文物支出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19.15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19.15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18"/>
              <w:spacing w:before="3" w:line="205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部门名称：古县文物旅游服务中心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209.83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493.53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 w:right="136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603.36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171.45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431.91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7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562.23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171.45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390.79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60.62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60.62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其他文化和旅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游支出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501.61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110.82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390.79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20702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8" w:line="221" w:lineRule="auto"/>
              <w:rPr/>
            </w:pPr>
            <w:r>
              <w:rPr>
                <w:color w:val="212529"/>
                <w:spacing w:val="-5"/>
              </w:rPr>
              <w:t>文物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2070204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文物保护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2070299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8" w:line="220" w:lineRule="auto"/>
              <w:rPr/>
            </w:pPr>
            <w:r>
              <w:rPr>
                <w:color w:val="212529"/>
                <w:spacing w:val="-2"/>
              </w:rPr>
              <w:t>其他文物支出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19.15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19.15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8"/>
              <w:spacing w:before="6" w:line="204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7"/>
        <w:gridCol w:w="456"/>
        <w:gridCol w:w="1439"/>
        <w:gridCol w:w="1607"/>
        <w:gridCol w:w="479"/>
        <w:gridCol w:w="851"/>
        <w:gridCol w:w="1139"/>
        <w:gridCol w:w="779"/>
        <w:gridCol w:w="86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48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部门名称：古县文物旅游服务中心</w:t>
            </w:r>
          </w:p>
        </w:tc>
        <w:tc>
          <w:tcPr>
            <w:tcW w:w="160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13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92" w:type="dxa"/>
            <w:vAlign w:val="top"/>
            <w:gridSpan w:val="3"/>
          </w:tcPr>
          <w:p>
            <w:pPr>
              <w:pStyle w:val="TableText"/>
              <w:ind w:left="145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24" w:type="dxa"/>
            <w:vAlign w:val="top"/>
            <w:gridSpan w:val="6"/>
          </w:tcPr>
          <w:p>
            <w:pPr>
              <w:pStyle w:val="TableText"/>
              <w:ind w:left="266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39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7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5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95" w:right="41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16"/>
              <w:spacing w:before="120" w:line="209" w:lineRule="auto"/>
              <w:rPr/>
            </w:pPr>
            <w:r>
              <w:rPr>
                <w:color w:val="212529"/>
                <w:spacing w:val="-2"/>
              </w:rPr>
              <w:t>政府性基</w:t>
            </w:r>
          </w:p>
          <w:p>
            <w:pPr>
              <w:pStyle w:val="TableText"/>
              <w:ind w:left="18"/>
              <w:spacing w:line="209" w:lineRule="auto"/>
              <w:rPr/>
            </w:pPr>
            <w:r>
              <w:rPr>
                <w:color w:val="212529"/>
                <w:spacing w:val="-3"/>
              </w:rPr>
              <w:t>金预算财</w:t>
            </w:r>
          </w:p>
          <w:p>
            <w:pPr>
              <w:pStyle w:val="TableText"/>
              <w:ind w:left="106"/>
              <w:spacing w:line="219" w:lineRule="auto"/>
              <w:rPr/>
            </w:pP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61" w:right="86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ind w:left="49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07" w:type="dxa"/>
            <w:vAlign w:val="top"/>
          </w:tcPr>
          <w:p>
            <w:pPr>
              <w:ind w:left="59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367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39" w:type="dxa"/>
            <w:vAlign w:val="top"/>
          </w:tcPr>
          <w:p>
            <w:pPr>
              <w:ind w:left="512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79" w:type="dxa"/>
            <w:vAlign w:val="top"/>
          </w:tcPr>
          <w:p>
            <w:pPr>
              <w:ind w:left="332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69" w:type="dxa"/>
            <w:vAlign w:val="top"/>
          </w:tcPr>
          <w:p>
            <w:pPr>
              <w:ind w:left="37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9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70"/>
              <w:spacing w:before="136" w:line="184" w:lineRule="auto"/>
              <w:rPr/>
            </w:pPr>
            <w:r>
              <w:rPr>
                <w:color w:val="212529"/>
                <w:spacing w:val="-2"/>
              </w:rPr>
              <w:t>641.89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4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4" w:right="126" w:hanging="5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9" w:right="15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603.36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603.36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7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6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70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00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18" w:right="15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81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71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 w:right="15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7" w:right="15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2" w:right="15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4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73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46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641.89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300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7"/>
        <w:gridCol w:w="456"/>
        <w:gridCol w:w="1439"/>
        <w:gridCol w:w="1607"/>
        <w:gridCol w:w="479"/>
        <w:gridCol w:w="851"/>
        <w:gridCol w:w="1139"/>
        <w:gridCol w:w="779"/>
        <w:gridCol w:w="869"/>
      </w:tblGrid>
      <w:tr>
        <w:trPr>
          <w:trHeight w:val="4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9" w:right="126"/>
              <w:spacing w:before="2" w:line="212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2" w:line="212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9" w:right="12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96"/>
              <w:spacing w:before="1" w:line="210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506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73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10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703.35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641.89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300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6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部门名称：古县文物旅游服务中心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641.89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209.83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432.07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603.36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171.45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431.91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562.23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171.45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390.79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60.62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2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60.62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1"/>
              </w:rPr>
              <w:t>其他文化和旅游支出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501.61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110.82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390.79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20702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21" w:lineRule="auto"/>
              <w:rPr/>
            </w:pPr>
            <w:r>
              <w:rPr>
                <w:color w:val="212529"/>
                <w:spacing w:val="-5"/>
              </w:rPr>
              <w:t>文物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41.13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2070204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3"/>
              </w:rPr>
              <w:t>文物保护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4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21.13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2070299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其他文物支出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4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20.00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20.04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19.15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19.15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部门名称：古县文物旅游服务中心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191.39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72.01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27.87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37.98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8.38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4.45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192.28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17.55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1990"/>
        <w:gridCol w:w="983"/>
        <w:gridCol w:w="767"/>
        <w:gridCol w:w="995"/>
        <w:gridCol w:w="732"/>
        <w:gridCol w:w="995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部门名称：古县文物旅游服务中心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8" w:right="56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722" w:type="dxa"/>
            <w:vAlign w:val="top"/>
            <w:gridSpan w:val="3"/>
          </w:tcPr>
          <w:p>
            <w:pPr>
              <w:pStyle w:val="TableText"/>
              <w:ind w:left="988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8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7" w:right="92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45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61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308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277" w:right="107" w:hanging="195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12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5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0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322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304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4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37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6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3" w:right="183" w:firstLine="18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5" w:right="183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其他国有土地使用权出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61.46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部门名称：古县文物旅游服务中心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部门名称：古县文物旅游服务中心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单位名称：古县文物旅游服务中心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17.55</w:t>
            </w:r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37" w:firstLine="499"/>
        <w:spacing w:before="130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2023年度收入总计703.35万元，支出总计703.35万元。与上年相比，收入总计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增加299.97万元，增长74.36%，支出总计增加299.97万元，增长74.36%。主要原因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是新增古县展览馆制作项目、牡丹景区标识牌提升、石壁张家大院抢险修缮工程等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项目资金。</w:t>
      </w:r>
    </w:p>
    <w:p>
      <w:pPr>
        <w:ind w:left="1202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2023年度收入合计703.35万元，其中：</w:t>
      </w:r>
    </w:p>
    <w:p>
      <w:pPr>
        <w:ind w:left="1212" w:right="4898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财政拨款收入703.35万元，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2023年度支出合计703.35万元，其中：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基本支出209.83万元，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占比29.83%；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项目支出493.53万元，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占比70.17%；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6" w:right="937" w:firstLine="499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2023年度财政拨款收入总计703.35万元，支出总计703.35万元。与上年相比，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财政拨款收入总计增加299.97万元，增长74.36%；财政拨款支出总计增加299.97万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元，增长74.36%。主要原因是新增古县展览馆制作项目、牡丹景区标识牌提升、石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壁张家大院抢险修缮工程等项目资金。</w:t>
      </w:r>
    </w:p>
    <w:p>
      <w:pPr>
        <w:ind w:left="12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2023年一般公共预算财政拨款决算支出641.</w:t>
      </w:r>
      <w:r>
        <w:rPr>
          <w:rFonts w:ascii="FangSong" w:hAnsi="FangSong" w:eastAsia="FangSong" w:cs="FangSong"/>
          <w:sz w:val="25"/>
          <w:szCs w:val="25"/>
          <w:spacing w:val="-1"/>
        </w:rPr>
        <w:t>89万元，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0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91.26%。与上年相比，一般公共预算财政拨款支出增加239.97万元，增长</w:t>
      </w:r>
    </w:p>
    <w:p>
      <w:pPr>
        <w:ind w:left="721" w:right="937" w:hanging="17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59.71%。主要原因是新增古县展览馆制作项目、牡丹景区标识牌提升、石壁张家大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院抢险修缮工程等项目资金。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210" w:right="1748" w:hanging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2023年度一般公共预算财政拨款支出641.89万元，主要用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文化旅游体育与传媒支出(类)603.36万元，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占比94.00%；</w:t>
      </w:r>
    </w:p>
    <w:p>
      <w:pPr>
        <w:ind w:left="1210" w:right="4016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社会保障和就业支出(类)20.04万元，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3.12%；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住房保障支出(类)18.34万元，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占比2.86%；</w:t>
      </w:r>
    </w:p>
    <w:p>
      <w:pPr>
        <w:ind w:left="12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其他支出(类)0.15万元，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占比0.02%。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2023年度一般公共预算财政拨款支出年初预算462.80万元，支出决算641.89万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元，完成年初预算的138.70%。其中：</w:t>
      </w:r>
    </w:p>
    <w:p>
      <w:pPr>
        <w:ind w:left="706" w:right="810" w:firstLine="504"/>
        <w:spacing w:before="4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文化旅游体育与传媒支出年初预算423.12万元，支出决算603.36万元，完成年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初预算的142.6%，主要用于人员工资及项目经费。较上年决算353.3万元增加250.06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万元，增长70.79%，主要原因是新增古县展览馆制作项目、牡丹景区标识牌提升、</w:t>
      </w:r>
    </w:p>
    <w:p>
      <w:pPr>
        <w:ind w:left="710" w:right="811" w:hanging="4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石壁张家大院抢险修缮工程等项目资金；社会保障和就业支出支出年初预算21.91万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元，支出决算20.04万元，完成年初预算的91.47%，主要用于在职人员社会保险缴</w:t>
      </w:r>
    </w:p>
    <w:p>
      <w:pPr>
        <w:ind w:left="714"/>
        <w:spacing w:before="46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费。较上年决算19.6万元增加0.8万元，增长0.44%，主要原因是养老保险基数增</w:t>
      </w:r>
    </w:p>
    <w:p>
      <w:pPr>
        <w:ind w:left="706" w:right="811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加；城乡社区支出年初预算0万元，支出决算61.46万</w:t>
      </w:r>
      <w:r>
        <w:rPr>
          <w:rFonts w:ascii="FangSong" w:hAnsi="FangSong" w:eastAsia="FangSong" w:cs="FangSong"/>
          <w:sz w:val="25"/>
          <w:szCs w:val="25"/>
        </w:rPr>
        <w:t>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用于市级文物保护单位补贴经费。较上年决算1.46万元增加60万元，增长</w:t>
      </w:r>
    </w:p>
    <w:p>
      <w:pPr>
        <w:ind w:left="706" w:right="811" w:hanging="8"/>
        <w:spacing w:before="44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4109.59%，主要原因是增加延庆观抢险修缮</w:t>
      </w:r>
      <w:r>
        <w:rPr>
          <w:rFonts w:ascii="FangSong" w:hAnsi="FangSong" w:eastAsia="FangSong" w:cs="FangSong"/>
          <w:sz w:val="25"/>
          <w:szCs w:val="25"/>
          <w:spacing w:val="1"/>
        </w:rPr>
        <w:t>及油漆彩绘工程；住房保障支出年初预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算17.78万元，支出决算18.34万元，完成年初预算的103.15%，主要用于在职人员的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住房公积金。较上年决算15.65万元增加2.69万元，增长17.19%，主要原因是缴费基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数增加；其他支出年初预算0万元，支出决算0.15万</w:t>
      </w:r>
      <w:r>
        <w:rPr>
          <w:rFonts w:ascii="FangSong" w:hAnsi="FangSong" w:eastAsia="FangSong" w:cs="FangSong"/>
          <w:sz w:val="25"/>
          <w:szCs w:val="25"/>
        </w:rPr>
        <w:t>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用于公务员目标责任考核奖。较上年决算0万元增加0.</w:t>
      </w:r>
      <w:r>
        <w:rPr>
          <w:rFonts w:ascii="FangSong" w:hAnsi="FangSong" w:eastAsia="FangSong" w:cs="FangSong"/>
          <w:sz w:val="25"/>
          <w:szCs w:val="25"/>
        </w:rPr>
        <w:t>15万元，增长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是公务员目标责任考核奖。</w:t>
      </w:r>
    </w:p>
    <w:p>
      <w:pPr>
        <w:ind w:left="12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2023年度财政拨款基本支出209.83万元，其中：</w:t>
      </w:r>
    </w:p>
    <w:p>
      <w:pPr>
        <w:ind w:left="728" w:right="976" w:firstLine="486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人员经费192.28万元，主要包括基本工资、津补贴、奖金、绩效、养老保险、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医疗保险、其他社会保障缴费、住房公积金、退休费；</w:t>
      </w:r>
    </w:p>
    <w:p>
      <w:pPr>
        <w:ind w:left="714" w:right="805" w:firstLine="501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公用经费17.55万元，主要包括办公费、印刷费、水费、邮电费、差旅费、劳务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费、工会经费、福利费、其他交通费用、其他商品和服务支出。</w:t>
      </w:r>
    </w:p>
    <w:p>
      <w:pPr>
        <w:ind w:left="11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06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2023年度政府性基金预算财政拨款收入总计61.46万元、支出总计61.46万元。</w:t>
      </w:r>
    </w:p>
    <w:p>
      <w:pPr>
        <w:ind w:left="707" w:right="805" w:firstLine="8"/>
        <w:spacing w:before="13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与上年相比，政府性基金预算财政拨款收入总计增加60.00万元，增长4109.59%；政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府性基金预算财政拨款支出总计增加60.00万元，增长4109.59%。主要原因是增加延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庆观抢险修缮及油漆彩绘工程资金。</w:t>
      </w:r>
    </w:p>
    <w:p>
      <w:pPr>
        <w:ind w:left="1198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spacing w:line="222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361" w:lineRule="auto"/>
        <w:rPr>
          <w:rFonts w:ascii="Arial"/>
          <w:sz w:val="21"/>
        </w:rPr>
      </w:pPr>
      <w:r/>
    </w:p>
    <w:p>
      <w:pPr>
        <w:ind w:left="1211"/>
        <w:spacing w:before="8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4"/>
      <w:bookmarkEnd w:id="64"/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是：本单位无因公出国（境）费用支出；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单位无公务用车购置费用支出；</w:t>
      </w:r>
    </w:p>
    <w:p>
      <w:pPr>
        <w:ind w:left="707" w:right="1057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是：本单位无公务用车运行维护费用支出；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无公务接待费用支出。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位无公务用车购置费用支出。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车，主要用于：本单位无公务用车运行维护费用</w:t>
      </w:r>
      <w:r>
        <w:rPr>
          <w:rFonts w:ascii="FangSong" w:hAnsi="FangSong" w:eastAsia="FangSong" w:cs="FangSong"/>
          <w:sz w:val="25"/>
          <w:szCs w:val="25"/>
        </w:rPr>
        <w:t>支出。</w:t>
      </w:r>
    </w:p>
    <w:p>
      <w:pPr>
        <w:ind w:left="1202"/>
        <w:spacing w:before="13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主要是本单位无国（境）外接待费用支出。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925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2023年机关运行经费支出17.55万元，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比2022年增加0.54万元，增长3.17%，主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要原因工会费及福利费增加。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spacing w:line="222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361" w:lineRule="auto"/>
        <w:rPr>
          <w:rFonts w:ascii="Arial"/>
          <w:sz w:val="21"/>
        </w:rPr>
      </w:pPr>
      <w:r/>
    </w:p>
    <w:p>
      <w:pPr>
        <w:ind w:left="706" w:right="805" w:firstLine="504"/>
        <w:spacing w:before="81" w:line="311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5" w:right="1057" w:firstLine="370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2023年二级项目绩效自评个数18个，涉及资金493.53万元：18个项目自评等级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205" w:right="6602" w:hanging="104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214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无其他需要说明的事项。</w:t>
      </w:r>
    </w:p>
    <w:p>
      <w:pPr>
        <w:spacing w:line="223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06" w:right="937" w:firstLine="7"/>
        <w:spacing w:before="165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十三、文化旅游体育与传媒支出：指反映政府在文化、旅游、文物、体育等方面的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支出。</w:t>
      </w:r>
    </w:p>
    <w:p>
      <w:pPr>
        <w:ind w:left="713"/>
        <w:spacing w:before="127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十四、社会保障和就业支出：指反映政府在社会保障与就业方面的支出。</w:t>
      </w:r>
    </w:p>
    <w:p>
      <w:pPr>
        <w:ind w:left="713"/>
        <w:spacing w:before="13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十五、住房保障支出：指集中反映政府用于住房方面的支出。</w:t>
      </w:r>
    </w:p>
    <w:p>
      <w:pPr>
        <w:spacing w:line="222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14" w:lineRule="auto"/>
        <w:rPr>
          <w:rFonts w:ascii="Arial"/>
          <w:sz w:val="21"/>
        </w:rPr>
      </w:pPr>
      <w:r/>
    </w:p>
    <w:p>
      <w:pPr>
        <w:ind w:left="713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十六、其他支出：指反映不能划分到上述功能科目的其他政府支出。</w:t>
      </w:r>
    </w:p>
    <w:p>
      <w:pPr>
        <w:ind w:left="45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359" w:lineRule="exact"/>
        <w:rPr/>
      </w:pPr>
      <w:r>
        <w:rPr>
          <w:position w:val="-267"/>
        </w:rPr>
        <w:drawing>
          <wp:inline distT="0" distB="0" distL="0" distR="0">
            <wp:extent cx="6097700" cy="8483425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59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6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6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79" w:lineRule="exact"/>
        <w:rPr/>
      </w:pP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6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7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91" w:lineRule="exact"/>
        <w:rPr/>
      </w:pP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7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7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-48-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古县文物旅游服务中心2023年单位决算公开报告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古县文物旅游服务中心2023年单位决算公开报告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1" Type="http://schemas.openxmlformats.org/officeDocument/2006/relationships/fontTable" Target="fontTable.xml"/><Relationship Id="rId80" Type="http://schemas.openxmlformats.org/officeDocument/2006/relationships/styles" Target="styles.xml"/><Relationship Id="rId8" Type="http://schemas.openxmlformats.org/officeDocument/2006/relationships/footer" Target="footer7.xml"/><Relationship Id="rId79" Type="http://schemas.openxmlformats.org/officeDocument/2006/relationships/settings" Target="settings.xml"/><Relationship Id="rId78" Type="http://schemas.openxmlformats.org/officeDocument/2006/relationships/image" Target="media/image28.jpeg"/><Relationship Id="rId77" Type="http://schemas.openxmlformats.org/officeDocument/2006/relationships/footer" Target="footer48.xml"/><Relationship Id="rId76" Type="http://schemas.openxmlformats.org/officeDocument/2006/relationships/image" Target="media/image27.jpeg"/><Relationship Id="rId75" Type="http://schemas.openxmlformats.org/officeDocument/2006/relationships/footer" Target="footer47.xml"/><Relationship Id="rId74" Type="http://schemas.openxmlformats.org/officeDocument/2006/relationships/image" Target="media/image26.jpeg"/><Relationship Id="rId73" Type="http://schemas.openxmlformats.org/officeDocument/2006/relationships/footer" Target="footer46.xml"/><Relationship Id="rId72" Type="http://schemas.openxmlformats.org/officeDocument/2006/relationships/image" Target="media/image25.jpeg"/><Relationship Id="rId71" Type="http://schemas.openxmlformats.org/officeDocument/2006/relationships/footer" Target="footer45.xml"/><Relationship Id="rId70" Type="http://schemas.openxmlformats.org/officeDocument/2006/relationships/image" Target="media/image24.jpeg"/><Relationship Id="rId7" Type="http://schemas.openxmlformats.org/officeDocument/2006/relationships/footer" Target="footer6.xml"/><Relationship Id="rId69" Type="http://schemas.openxmlformats.org/officeDocument/2006/relationships/footer" Target="footer44.xml"/><Relationship Id="rId68" Type="http://schemas.openxmlformats.org/officeDocument/2006/relationships/image" Target="media/image23.jpeg"/><Relationship Id="rId67" Type="http://schemas.openxmlformats.org/officeDocument/2006/relationships/footer" Target="footer43.xml"/><Relationship Id="rId66" Type="http://schemas.openxmlformats.org/officeDocument/2006/relationships/image" Target="media/image22.jpeg"/><Relationship Id="rId65" Type="http://schemas.openxmlformats.org/officeDocument/2006/relationships/footer" Target="footer42.xml"/><Relationship Id="rId64" Type="http://schemas.openxmlformats.org/officeDocument/2006/relationships/image" Target="media/image21.jpeg"/><Relationship Id="rId63" Type="http://schemas.openxmlformats.org/officeDocument/2006/relationships/footer" Target="footer41.xml"/><Relationship Id="rId62" Type="http://schemas.openxmlformats.org/officeDocument/2006/relationships/image" Target="media/image20.jpeg"/><Relationship Id="rId61" Type="http://schemas.openxmlformats.org/officeDocument/2006/relationships/footer" Target="footer40.xml"/><Relationship Id="rId60" Type="http://schemas.openxmlformats.org/officeDocument/2006/relationships/image" Target="media/image19.jpeg"/><Relationship Id="rId6" Type="http://schemas.openxmlformats.org/officeDocument/2006/relationships/footer" Target="footer5.xml"/><Relationship Id="rId59" Type="http://schemas.openxmlformats.org/officeDocument/2006/relationships/footer" Target="footer39.xml"/><Relationship Id="rId58" Type="http://schemas.openxmlformats.org/officeDocument/2006/relationships/image" Target="media/image18.jpeg"/><Relationship Id="rId57" Type="http://schemas.openxmlformats.org/officeDocument/2006/relationships/footer" Target="footer38.xml"/><Relationship Id="rId56" Type="http://schemas.openxmlformats.org/officeDocument/2006/relationships/image" Target="media/image17.jpeg"/><Relationship Id="rId55" Type="http://schemas.openxmlformats.org/officeDocument/2006/relationships/footer" Target="footer37.xml"/><Relationship Id="rId54" Type="http://schemas.openxmlformats.org/officeDocument/2006/relationships/image" Target="media/image16.jpeg"/><Relationship Id="rId53" Type="http://schemas.openxmlformats.org/officeDocument/2006/relationships/footer" Target="footer36.xml"/><Relationship Id="rId52" Type="http://schemas.openxmlformats.org/officeDocument/2006/relationships/image" Target="media/image15.jpeg"/><Relationship Id="rId51" Type="http://schemas.openxmlformats.org/officeDocument/2006/relationships/footer" Target="footer35.xml"/><Relationship Id="rId50" Type="http://schemas.openxmlformats.org/officeDocument/2006/relationships/image" Target="media/image14.jpeg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2024-09-16T10:32:44Z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2024-09-20T10:40:38</vt:filetime>
  </property>
</Properties>
</file>