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506"/>
        <w:spacing w:before="110" w:line="214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林 业 综</w:t>
      </w:r>
      <w:r>
        <w:rPr>
          <w:rFonts w:ascii="SimSun" w:hAnsi="SimSun" w:eastAsia="SimSun" w:cs="SimSun"/>
          <w:sz w:val="34"/>
          <w:szCs w:val="34"/>
          <w:spacing w:val="-10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合 服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务 中 心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0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3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3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16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29"/>
      <w:bookmarkEnd w:id="29"/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8" w:right="1450" w:hanging="1"/>
        <w:spacing w:before="274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（一）负责林业和草原（地）及其生态保护修复的监督管理。拟订我县林业和草原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及其生态保护修复的规划、标准并组织实施。组织开展森林、草原、湿地、荒漠和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陆生野生动植物资源动态监测与评价。</w:t>
      </w:r>
    </w:p>
    <w:p>
      <w:pPr>
        <w:ind w:left="1306" w:right="1450" w:firstLine="1"/>
        <w:spacing w:before="129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（二）组织林业和草原（地）生态保护修复和造林绿化工作。组织实施林业和草原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（地）重点生态保护修复工程，指导公益林</w:t>
      </w:r>
      <w:r>
        <w:rPr>
          <w:rFonts w:ascii="FangSong" w:hAnsi="FangSong" w:eastAsia="FangSong" w:cs="FangSong"/>
          <w:sz w:val="25"/>
          <w:szCs w:val="25"/>
          <w:spacing w:val="1"/>
        </w:rPr>
        <w:t>和商品林的培育，指导、监督全民义务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植树、城乡绿化工作。指导林业和草原有害</w:t>
      </w:r>
      <w:r>
        <w:rPr>
          <w:rFonts w:ascii="FangSong" w:hAnsi="FangSong" w:eastAsia="FangSong" w:cs="FangSong"/>
          <w:sz w:val="25"/>
          <w:szCs w:val="25"/>
          <w:spacing w:val="1"/>
        </w:rPr>
        <w:t>生物防治、检疫工作。承担林业和草原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应对气候变化的相关工作。承担县绿化委员会日常工作。</w:t>
      </w:r>
    </w:p>
    <w:p>
      <w:pPr>
        <w:ind w:left="1306" w:right="1450" w:firstLine="1"/>
        <w:spacing w:before="132" w:line="30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（三）负责森林、草原（地）、湿地资源的监督管理。组织编制并监督执行全县森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林采伐限额。负责林地管理，拟订林地保护利用规划并组织实施，指导公益林划定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和管理工作，管理国有森林资源。负责封山禁牧和林业生态修复治理工作，监督管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理林地的开发利用。负责湿地生态保护修复工作，拟订湿地保护规划，监督管理湿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地的开发利用。</w:t>
      </w:r>
    </w:p>
    <w:p>
      <w:pPr>
        <w:ind w:left="1306" w:right="1450" w:firstLine="1"/>
        <w:spacing w:before="129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（四）负责陆生野生动植物资源监督管理。组织开展陆生野生动植物资源调查，拟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订及调整县级重点保护的陆生野生动物、植物名录，指导陆生野生动植物的救护繁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育、栖息地恢复发展、疫源疫病监测，监督管理陆生野生动植物猎捕或采集、驯养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繁殖或培植、经营利用，按分工监督管理野生动植物进</w:t>
      </w:r>
      <w:r>
        <w:rPr>
          <w:rFonts w:ascii="FangSong" w:hAnsi="FangSong" w:eastAsia="FangSong" w:cs="FangSong"/>
          <w:sz w:val="25"/>
          <w:szCs w:val="25"/>
          <w:spacing w:val="-2"/>
        </w:rPr>
        <w:t>出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口。</w:t>
      </w:r>
    </w:p>
    <w:p>
      <w:pPr>
        <w:ind w:left="1306" w:right="1450" w:firstLine="1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（五）负责监督管理各类自然保护地。拟订自然保护地规划和相关县级标准。提出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新建、调整县级自然保护地的审核建议并按</w:t>
      </w:r>
      <w:r>
        <w:rPr>
          <w:rFonts w:ascii="FangSong" w:hAnsi="FangSong" w:eastAsia="FangSong" w:cs="FangSong"/>
          <w:sz w:val="25"/>
          <w:szCs w:val="25"/>
          <w:spacing w:val="1"/>
        </w:rPr>
        <w:t>程序报批。负责林业生物多样性保护相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关工作。</w:t>
      </w:r>
    </w:p>
    <w:p>
      <w:pPr>
        <w:ind w:left="1306" w:right="1450" w:firstLine="1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（六）负责推进林业改革相关工作。拟订全县林业重大改革意见并监督实施。拟订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全县农村林业发展、维护林业经营者合法权益的政策措施，指导集体林业适度规模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经营。开展退耕还林工作，负责天然林保护工作。</w:t>
      </w:r>
    </w:p>
    <w:p>
      <w:pPr>
        <w:ind w:left="1307" w:right="1450"/>
        <w:spacing w:before="132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（七）拟订林业和草原（地）资源优化配置及木材利用政策，拟订相关林业产业县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级标准并监督实施，组织、指导林产品质量监督，指导生态扶贫相关工作。指导全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县干果经济林、花卉、林下经济、森林旅游等林业产业发展，对全县木材经营加工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实行行业监管。</w:t>
      </w:r>
    </w:p>
    <w:p>
      <w:pPr>
        <w:ind w:left="1307" w:right="1450" w:firstLine="6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监督管理林业和草原（地）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中央、省、市级资金，提出林业和草原预</w:t>
      </w:r>
      <w:r>
        <w:rPr>
          <w:rFonts w:ascii="FangSong" w:hAnsi="FangSong" w:eastAsia="FangSong" w:cs="FangSong"/>
          <w:sz w:val="25"/>
          <w:szCs w:val="25"/>
          <w:spacing w:val="-1"/>
        </w:rPr>
        <w:t>算内投资、财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政性资金安排建议，按县政府规定权限，审核县政府规划内和年度计划内投资项</w:t>
      </w:r>
    </w:p>
    <w:p>
      <w:pPr>
        <w:ind w:left="1310" w:right="1703" w:firstLine="40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目。参与拟订林业和草原（地）经济调节政策，组织实施林业和草原生态补偿工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1"/>
        </w:rPr>
        <w:t>作。</w:t>
      </w:r>
    </w:p>
    <w:p>
      <w:pPr>
        <w:spacing w:line="30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307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（八）按规定要求，承担对口事业服务机构业务工作的指导、协调和监督职责。</w:t>
      </w:r>
    </w:p>
    <w:p>
      <w:pPr>
        <w:ind w:left="1307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（九）完成县委、县政府交办的其他任务。</w:t>
      </w:r>
    </w:p>
    <w:p>
      <w:pPr>
        <w:ind w:left="18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根据主要职责，林业综合服务中心无内设机构及股室。</w:t>
      </w:r>
    </w:p>
    <w:p>
      <w:pPr>
        <w:spacing w:line="222" w:lineRule="auto"/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0" w:id="33"/>
      <w:bookmarkEnd w:id="33"/>
      <w:bookmarkStart w:name="bookmark5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部门名称：古县林业综合服务中心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315.07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3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48.29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9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242.58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24.21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1" w:id="36"/>
            <w:bookmarkEnd w:id="36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32" w:id="37"/>
            <w:bookmarkEnd w:id="37"/>
            <w:bookmarkStart w:name="bookmark7" w:id="38"/>
            <w:bookmarkEnd w:id="38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46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3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9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15.74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15.74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24.35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24.35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77"/>
        <w:gridCol w:w="1283"/>
        <w:gridCol w:w="1331"/>
        <w:gridCol w:w="1331"/>
        <w:gridCol w:w="971"/>
        <w:gridCol w:w="563"/>
        <w:gridCol w:w="971"/>
        <w:gridCol w:w="989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89" w:hRule="atLeast"/>
        </w:trPr>
        <w:tc>
          <w:tcPr>
            <w:tcW w:w="15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9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5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部门名称：古县林业综合服务中心</w:t>
            </w:r>
          </w:p>
        </w:tc>
        <w:tc>
          <w:tcPr>
            <w:tcW w:w="23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25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63" w:line="16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0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9"/>
              <w:spacing w:before="20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3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9" w:right="56" w:hanging="270"/>
              <w:spacing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301"/>
              <w:spacing w:line="20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411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62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3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31" w:type="dxa"/>
            <w:vAlign w:val="top"/>
          </w:tcPr>
          <w:p>
            <w:pPr>
              <w:ind w:left="611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31" w:type="dxa"/>
            <w:vAlign w:val="top"/>
          </w:tcPr>
          <w:p>
            <w:pPr>
              <w:ind w:left="605"/>
              <w:spacing w:before="7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971" w:type="dxa"/>
            <w:vAlign w:val="top"/>
          </w:tcPr>
          <w:p>
            <w:pPr>
              <w:ind w:left="426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71" w:type="dxa"/>
            <w:vAlign w:val="top"/>
          </w:tcPr>
          <w:p>
            <w:pPr>
              <w:ind w:left="428"/>
              <w:spacing w:before="7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89" w:type="dxa"/>
            <w:vAlign w:val="top"/>
          </w:tcPr>
          <w:p>
            <w:pPr>
              <w:ind w:left="437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3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6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6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5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5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15.74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15.74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24.35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24.35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 w:right="19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/>
              <w:spacing w:before="42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7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3" w:id="40"/>
            <w:bookmarkEnd w:id="40"/>
            <w:bookmarkStart w:name="bookmark9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4" w:id="42"/>
            <w:bookmarkEnd w:id="42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40"/>
        <w:gridCol w:w="2746"/>
        <w:gridCol w:w="1630"/>
        <w:gridCol w:w="1487"/>
        <w:gridCol w:w="131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1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8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163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21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7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586" w:type="dxa"/>
            <w:vAlign w:val="top"/>
            <w:gridSpan w:val="2"/>
          </w:tcPr>
          <w:p>
            <w:pPr>
              <w:ind w:left="2091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30" w:type="dxa"/>
            <w:vAlign w:val="top"/>
            <w:gridSpan w:val="3"/>
          </w:tcPr>
          <w:p>
            <w:pPr>
              <w:ind w:left="1833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ind w:left="537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46" w:type="dxa"/>
            <w:vAlign w:val="top"/>
          </w:tcPr>
          <w:p>
            <w:pPr>
              <w:ind w:left="98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30" w:type="dxa"/>
            <w:vAlign w:val="top"/>
          </w:tcPr>
          <w:p>
            <w:pPr>
              <w:ind w:left="615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87" w:type="dxa"/>
            <w:vAlign w:val="top"/>
          </w:tcPr>
          <w:p>
            <w:pPr>
              <w:ind w:left="36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13" w:type="dxa"/>
            <w:vAlign w:val="top"/>
          </w:tcPr>
          <w:p>
            <w:pPr>
              <w:ind w:left="27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586" w:type="dxa"/>
            <w:vAlign w:val="top"/>
            <w:gridSpan w:val="2"/>
          </w:tcPr>
          <w:p>
            <w:pPr>
              <w:ind w:left="208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765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8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ind w:left="59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586" w:type="dxa"/>
            <w:vAlign w:val="top"/>
            <w:gridSpan w:val="2"/>
          </w:tcPr>
          <w:p>
            <w:pPr>
              <w:pStyle w:val="TableText"/>
              <w:ind w:left="2098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315.07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7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6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7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6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48.29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15.74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15.74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20" w:right="38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50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24.35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9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24.35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242.58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5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9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5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9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5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9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24.21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4"/>
            <w:bookmarkEnd w:id="44"/>
            <w:bookmarkStart w:name="bookmark11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236.57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17.56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87.93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56.81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60.93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297.50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17.56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6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2"/>
          <w:footerReference w:type="default" r:id="rId23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7"/>
            <w:bookmarkEnd w:id="47"/>
            <w:bookmarkStart w:name="bookmark12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8" w:id="49"/>
            <w:bookmarkEnd w:id="49"/>
            <w:bookmarkStart w:name="bookmark13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06"/>
        <w:gridCol w:w="1391"/>
        <w:gridCol w:w="1044"/>
        <w:gridCol w:w="1044"/>
        <w:gridCol w:w="1044"/>
        <w:gridCol w:w="1224"/>
        <w:gridCol w:w="1224"/>
        <w:gridCol w:w="1391"/>
        <w:gridCol w:w="1056"/>
        <w:gridCol w:w="1056"/>
        <w:gridCol w:w="1056"/>
        <w:gridCol w:w="1230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1"/>
            <w:bookmarkEnd w:id="51"/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3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9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部门名称：古县林业综合服务中心</w:t>
            </w:r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01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86" w:right="108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32" w:type="dxa"/>
            <w:vAlign w:val="top"/>
            <w:gridSpan w:val="3"/>
          </w:tcPr>
          <w:p>
            <w:pPr>
              <w:ind w:left="46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3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91" w:right="10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68" w:type="dxa"/>
            <w:vAlign w:val="top"/>
            <w:gridSpan w:val="3"/>
          </w:tcPr>
          <w:p>
            <w:pPr>
              <w:ind w:left="48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3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20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ind w:left="31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44" w:type="dxa"/>
            <w:vAlign w:val="top"/>
          </w:tcPr>
          <w:p>
            <w:pPr>
              <w:ind w:left="320" w:right="8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44" w:type="dxa"/>
            <w:vAlign w:val="top"/>
          </w:tcPr>
          <w:p>
            <w:pPr>
              <w:ind w:left="52" w:right="8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ind w:left="329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56" w:type="dxa"/>
            <w:vAlign w:val="top"/>
          </w:tcPr>
          <w:p>
            <w:pPr>
              <w:ind w:left="331" w:right="88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56" w:type="dxa"/>
            <w:vAlign w:val="top"/>
          </w:tcPr>
          <w:p>
            <w:pPr>
              <w:ind w:left="63" w:right="88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556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6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4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30" w:type="dxa"/>
            <w:vAlign w:val="top"/>
          </w:tcPr>
          <w:p>
            <w:pPr>
              <w:pStyle w:val="TableText"/>
              <w:ind w:left="52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814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9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40" w:id="53"/>
            <w:bookmarkEnd w:id="53"/>
            <w:bookmarkStart w:name="bookmark15" w:id="54"/>
            <w:bookmarkEnd w:id="54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单位名称：古县林业综合服务中心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1" w:id="55"/>
      <w:bookmarkEnd w:id="55"/>
      <w:bookmarkStart w:name="bookmark16" w:id="56"/>
      <w:bookmarkEnd w:id="56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7"/>
      <w:bookmarkEnd w:id="57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499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2023年度收入总计315.07万元，支出总计315.07万元。与上年相比，收入总计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增加14.89万元，增长4.96%，支出总计增加14.89万元，</w:t>
      </w:r>
      <w:r>
        <w:rPr>
          <w:rFonts w:ascii="FangSong" w:hAnsi="FangSong" w:eastAsia="FangSong" w:cs="FangSong"/>
          <w:sz w:val="25"/>
          <w:szCs w:val="25"/>
          <w:spacing w:val="1"/>
        </w:rPr>
        <w:t>增长4.96%。主要原因是人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员基本工资及各类保险的基数增加。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8"/>
      <w:bookmarkEnd w:id="58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2023年度收入合计315.07万元，其中：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财政拨款收入315.07万元，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9"/>
      <w:bookmarkEnd w:id="59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2023年度支出合计315.07万元，其中：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基本支出315.07万元，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占比100.0</w:t>
      </w:r>
      <w:r>
        <w:rPr>
          <w:rFonts w:ascii="FangSong" w:hAnsi="FangSong" w:eastAsia="FangSong" w:cs="FangSong"/>
          <w:sz w:val="25"/>
          <w:szCs w:val="25"/>
          <w:spacing w:val="-3"/>
        </w:rPr>
        <w:t>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项目支出0万元，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0" w:right="6672" w:firstLine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0"/>
      <w:bookmarkEnd w:id="60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358" w:firstLine="499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2023年度财政拨款收入总计315.07万元，支出总计315.07万元。与上年相比，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财政拨款收入总计增加14.89万元，增长4.</w:t>
      </w:r>
      <w:r>
        <w:rPr>
          <w:rFonts w:ascii="FangSong" w:hAnsi="FangSong" w:eastAsia="FangSong" w:cs="FangSong"/>
          <w:sz w:val="25"/>
          <w:szCs w:val="25"/>
        </w:rPr>
        <w:t>96%；财政拨款支出总计增加14.89万元，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增长4.96%。主要原因是人员基本工资及各类保险的基数增加。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2023年一般公共预算财政拨款决算支出315.</w:t>
      </w:r>
      <w:r>
        <w:rPr>
          <w:rFonts w:ascii="FangSong" w:hAnsi="FangSong" w:eastAsia="FangSong" w:cs="FangSong"/>
          <w:sz w:val="25"/>
          <w:szCs w:val="25"/>
          <w:spacing w:val="-1"/>
        </w:rPr>
        <w:t>07万元，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06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100.00%。与上年相比，一般公共预算财政拨款支出增加14.89万元，增长4.96%。主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要原因是人员基本工资及各类保险的基数增加。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2023年度一般公共预算财政拨款支出315.07万元，主要用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社会保障和就业支出(类)48.29万元，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15.33%；</w:t>
      </w:r>
    </w:p>
    <w:p>
      <w:pPr>
        <w:ind w:left="1811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农林水支出(类)242.58万元，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占比76.99%；</w:t>
      </w:r>
    </w:p>
    <w:p>
      <w:pPr>
        <w:spacing w:line="224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住房保障支出(类)24.21万元，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占比7.68%。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2023年度一般公共预算财政拨款支出年初预算319.11万元，支出决算315.07万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元，完成年初预算的98.73%。其中：</w:t>
      </w:r>
    </w:p>
    <w:p>
      <w:pPr>
        <w:ind w:left="1321" w:right="1450" w:firstLine="489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社会保障和就业支出年初预算53.03万元，支出决算48.29万元，完成年初预算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的91.06%，用于职工养老保险缴纳、退休人员补充医疗保险以及职业年金等，较</w:t>
      </w:r>
    </w:p>
    <w:p>
      <w:pPr>
        <w:ind w:left="1300" w:right="1324" w:firstLine="2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2022年决算增加13.75万元，增加28.47%，主要原因是人员工资及各类保险的基数都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在上调。农林水支出年初预算245.67</w:t>
      </w:r>
      <w:r>
        <w:rPr>
          <w:rFonts w:ascii="FangSong" w:hAnsi="FangSong" w:eastAsia="FangSong" w:cs="FangSong"/>
          <w:sz w:val="25"/>
          <w:szCs w:val="25"/>
          <w:spacing w:val="1"/>
        </w:rPr>
        <w:t>万元，支出决算242.57万元，完成年初预算的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98.74%，用于职工工资及福利费、工会费、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</w:t>
      </w:r>
      <w:r>
        <w:rPr>
          <w:rFonts w:ascii="FangSong" w:hAnsi="FangSong" w:eastAsia="FangSong" w:cs="FangSong"/>
          <w:sz w:val="25"/>
          <w:szCs w:val="25"/>
          <w:spacing w:val="-1"/>
        </w:rPr>
        <w:t>等，较2022年决算减少</w:t>
      </w:r>
    </w:p>
    <w:p>
      <w:pPr>
        <w:ind w:left="1302" w:right="1450" w:firstLine="15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1.16万元，减少0.48%，主要原因是经费减少。住房保障支出年初预算20.41万元，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支出决算24.21万元，完成年初预算的118.62%，用于职工住房公积金缴纳资金，较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2022年决算增加2.3万元，增加9.5%，主要原因是住房公积金基数上调。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2023年度财政拨款基本支出315.07万元，其中：</w:t>
      </w:r>
    </w:p>
    <w:p>
      <w:pPr>
        <w:ind w:left="1306" w:right="1450" w:firstLine="508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人员经费297.50万元，主要包括基本工资，津贴补贴，奖金，绩效工资，基本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养老保险，职业年金，基本医疗保险，住房公积金，其他社会保障费，退休费等；</w:t>
      </w:r>
    </w:p>
    <w:p>
      <w:pPr>
        <w:ind w:left="1314" w:right="1318" w:firstLine="501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公用经费17.56万元，主要包括办公费，印刷费，水费，差旅费，维修费，租赁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费，公务接待费，劳务费，工会费，福利费等。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”经费财政拨款支出全年预算0.57万元，支出决算0.57万元，</w:t>
      </w:r>
    </w:p>
    <w:p>
      <w:pPr>
        <w:ind w:left="1309" w:right="1318" w:firstLine="2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比上年度减少0.30万元，下降34.48%，主要原因是：接待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外来人员以及上级检查减少其中：</w:t>
      </w:r>
    </w:p>
    <w:p>
      <w:pPr>
        <w:ind w:left="1307" w:right="1823" w:firstLine="52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是：我单位无因公出国(境)费用支出；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1816"/>
        <w:spacing w:before="4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公务接待费支出0.57万元，完成全年预算的100.00%，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</w:t>
      </w:r>
      <w:r>
        <w:rPr>
          <w:rFonts w:ascii="FangSong" w:hAnsi="FangSong" w:eastAsia="FangSong" w:cs="FangSong"/>
          <w:sz w:val="25"/>
          <w:szCs w:val="25"/>
          <w:spacing w:val="-1"/>
        </w:rPr>
        <w:t>0.30万</w:t>
      </w:r>
    </w:p>
    <w:p>
      <w:pPr>
        <w:spacing w:line="223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2" w:id="66"/>
      <w:bookmarkEnd w:id="66"/>
      <w:r>
        <w:rPr>
          <w:rFonts w:ascii="FangSong" w:hAnsi="FangSong" w:eastAsia="FangSong" w:cs="FangSong"/>
          <w:sz w:val="25"/>
          <w:szCs w:val="25"/>
          <w:spacing w:val="1"/>
        </w:rPr>
        <w:t>元，下降34.48%，主要原因是：接待外来人员以及上级检查减少。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1312" w:right="1306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4、公务接待费支出0.57万元，共接待10批次，180人次</w:t>
      </w:r>
      <w:r>
        <w:rPr>
          <w:rFonts w:ascii="FangSong" w:hAnsi="FangSong" w:eastAsia="FangSong" w:cs="FangSong"/>
          <w:sz w:val="25"/>
          <w:szCs w:val="25"/>
          <w:spacing w:val="1"/>
        </w:rPr>
        <w:t>。国内接待费0.57万</w:t>
      </w:r>
    </w:p>
    <w:p>
      <w:pPr>
        <w:ind w:left="131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元，共接待10批次，180人次，其中外事接待费0万元，共接待0批次，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是接待国家林业和草原产业发展院项目部主任王灵艳一行5人；省林草局场圃总站郭</w:t>
      </w:r>
    </w:p>
    <w:p>
      <w:pPr>
        <w:ind w:left="1308" w:right="1450" w:hanging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小兵3人与市林业局2人检查天保资金使用情况；山西广播电视台录制古县核桃、连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翘产业新闻报道宣传片2人与省林业局1人</w:t>
      </w:r>
      <w:r>
        <w:rPr>
          <w:rFonts w:ascii="FangSong" w:hAnsi="FangSong" w:eastAsia="FangSong" w:cs="FangSong"/>
          <w:sz w:val="25"/>
          <w:szCs w:val="25"/>
          <w:spacing w:val="1"/>
        </w:rPr>
        <w:t>；国（境）外接待费0万元，共接待国</w:t>
      </w:r>
    </w:p>
    <w:p>
      <w:pPr>
        <w:ind w:left="1307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（境）外0批次，0人次，主要是我单位无</w:t>
      </w:r>
      <w:r>
        <w:rPr>
          <w:rFonts w:ascii="FangSong" w:hAnsi="FangSong" w:eastAsia="FangSong" w:cs="FangSong"/>
          <w:sz w:val="25"/>
          <w:szCs w:val="25"/>
          <w:spacing w:val="1"/>
        </w:rPr>
        <w:t>国（境）外接待费支出。</w:t>
      </w:r>
    </w:p>
    <w:p>
      <w:pPr>
        <w:ind w:left="1801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ind w:left="1307" w:right="2207"/>
        <w:spacing w:before="44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他用车主要是我单位无车辆；单价100万元（含）以上设备（不含车辆）0台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15" w:right="2333" w:hanging="13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2023年二级项目绩效自评个数1个，涉及资金18.61万元：1个项目自评等级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317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806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spacing w:line="223" w:lineRule="auto"/>
        <w:sectPr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307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本单位无其他事项说明</w:t>
      </w:r>
    </w:p>
    <w:p>
      <w:pPr>
        <w:spacing w:line="222" w:lineRule="auto"/>
        <w:sectPr>
          <w:headerReference w:type="default" r:id="rId9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十三、社会保障和就业支出:反映政府在社会保障与就业方面的支出。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十四、农林水支出:反映政府农林水事务支出。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十五、住房保障支出:反映政府用于住房方</w:t>
      </w:r>
      <w:r>
        <w:rPr>
          <w:rFonts w:ascii="FangSong" w:hAnsi="FangSong" w:eastAsia="FangSong" w:cs="FangSong"/>
          <w:sz w:val="25"/>
          <w:szCs w:val="25"/>
        </w:rPr>
        <w:t>面的支出。</w:t>
      </w:r>
    </w:p>
    <w:p>
      <w:pPr>
        <w:ind w:left="51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30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34" style="position:absolute;margin-left:86.92pt;margin-top:44.1055pt;mso-position-vertical-relative:page;mso-position-horizontal-relative:page;width:119.4pt;height:18.85pt;z-index:251687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6" style="position:absolute;margin-left:493.28pt;margin-top:49.1801pt;mso-position-vertical-relative:page;mso-position-horizontal-relative:page;width:99.4pt;height:18.7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38" style="position:absolute;margin-left:391.92pt;margin-top:234.112pt;mso-position-vertical-relative:text;mso-position-horizontal-relative:text;width:119.4pt;height:18.85pt;z-index:251686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0" style="position:absolute;margin-left:86.92pt;margin-top:478.112pt;mso-position-vertical-relative:text;mso-position-horizontal-relative:text;width:119.4pt;height:18.85pt;z-index:251688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2" style="position:absolute;margin-left:-13.08pt;margin-top:234.112pt;mso-position-vertical-relative:text;mso-position-horizontal-relative:text;width:119.4pt;height:18.85pt;z-index:251689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4" style="position:absolute;margin-left:493.28pt;margin-top:483.186pt;mso-position-vertical-relative:text;mso-position-horizontal-relative:text;width:99.4pt;height:18.7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46" style="position:absolute;margin-left:86.92pt;margin-top:44.1055pt;mso-position-vertical-relative:page;mso-position-horizontal-relative:page;width:119.4pt;height:18.8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8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50" style="position:absolute;margin-left:-13.08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2" style="position:absolute;margin-left:391.92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54" style="position:absolute;margin-left:493.28pt;margin-top:483.186pt;mso-position-vertical-relative:text;mso-position-horizontal-relative:text;width:99.4pt;height:18.7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56" style="position:absolute;margin-left:86.92pt;margin-top:478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3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9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8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53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17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27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411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55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44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8" style="position:absolute;margin-left:86.92pt;margin-top:26.2223pt;mso-position-vertical-relative:text;mso-position-horizontal-relative:text;width:119.4pt;height:18.85pt;z-index:2517749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288.105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49.1801pt;mso-position-vertical-relative:page;mso-position-horizontal-relative:page;width:99.4pt;height:18.75pt;z-index:251776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86.92pt;margin-top:532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-13.08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493.28pt;margin-top:537.18pt;mso-position-vertical-relative:page;mso-position-horizontal-relative:page;width:99.4pt;height:18.7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2" style="position:absolute;margin-left:391.92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4" style="position:absolute;margin-left:86.92pt;margin-top:26.2223pt;mso-position-vertical-relative:text;mso-position-horizontal-relative:text;width:119.4pt;height:18.85pt;z-index:2517841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13.08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8" style="position:absolute;margin-left:493.28pt;margin-top:49.1801pt;mso-position-vertical-relative:page;mso-position-horizontal-relative:page;width:99.4pt;height:18.75pt;z-index:2517852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0" style="position:absolute;margin-left:391.92pt;margin-top:288.105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86.92pt;margin-top:532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-13.08pt;margin-top:776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493.28pt;margin-top:537.18pt;mso-position-vertical-relative:page;mso-position-horizontal-relative:page;width:99.4pt;height:18.7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8" style="position:absolute;margin-left:391.92pt;margin-top:776.106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30" style="position:absolute;margin-left:-13.08pt;margin-top:776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391.92pt;margin-top:776.106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古县林业综合服务中心2023年单位决算公开报告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" Type="http://schemas.openxmlformats.org/officeDocument/2006/relationships/footer" Target="footer2.xml"/><Relationship Id="rId5" Type="http://schemas.openxmlformats.org/officeDocument/2006/relationships/header" Target="header4.xml"/><Relationship Id="rId42" Type="http://schemas.openxmlformats.org/officeDocument/2006/relationships/fontTable" Target="fontTable.xml"/><Relationship Id="rId41" Type="http://schemas.openxmlformats.org/officeDocument/2006/relationships/styles" Target="styles.xml"/><Relationship Id="rId40" Type="http://schemas.openxmlformats.org/officeDocument/2006/relationships/settings" Target="settings.xml"/><Relationship Id="rId4" Type="http://schemas.openxmlformats.org/officeDocument/2006/relationships/footer" Target="footer1.xml"/><Relationship Id="rId39" Type="http://schemas.openxmlformats.org/officeDocument/2006/relationships/image" Target="media/image2.jpeg"/><Relationship Id="rId38" Type="http://schemas.openxmlformats.org/officeDocument/2006/relationships/footer" Target="footer22.xml"/><Relationship Id="rId37" Type="http://schemas.openxmlformats.org/officeDocument/2006/relationships/image" Target="media/image1.jpeg"/><Relationship Id="rId36" Type="http://schemas.openxmlformats.org/officeDocument/2006/relationships/footer" Target="footer21.xml"/><Relationship Id="rId35" Type="http://schemas.openxmlformats.org/officeDocument/2006/relationships/header" Target="header15.xml"/><Relationship Id="rId34" Type="http://schemas.openxmlformats.org/officeDocument/2006/relationships/footer" Target="footer20.xml"/><Relationship Id="rId33" Type="http://schemas.openxmlformats.org/officeDocument/2006/relationships/footer" Target="footer19.xml"/><Relationship Id="rId32" Type="http://schemas.openxmlformats.org/officeDocument/2006/relationships/footer" Target="footer18.xml"/><Relationship Id="rId31" Type="http://schemas.openxmlformats.org/officeDocument/2006/relationships/footer" Target="footer17.xml"/><Relationship Id="rId30" Type="http://schemas.openxmlformats.org/officeDocument/2006/relationships/header" Target="header14.xml"/><Relationship Id="rId3" Type="http://schemas.openxmlformats.org/officeDocument/2006/relationships/header" Target="header3.xml"/><Relationship Id="rId29" Type="http://schemas.openxmlformats.org/officeDocument/2006/relationships/footer" Target="footer16.xml"/><Relationship Id="rId28" Type="http://schemas.openxmlformats.org/officeDocument/2006/relationships/header" Target="header13.xml"/><Relationship Id="rId27" Type="http://schemas.openxmlformats.org/officeDocument/2006/relationships/footer" Target="footer15.xml"/><Relationship Id="rId26" Type="http://schemas.openxmlformats.org/officeDocument/2006/relationships/footer" Target="footer14.xml"/><Relationship Id="rId25" Type="http://schemas.openxmlformats.org/officeDocument/2006/relationships/footer" Target="footer13.xml"/><Relationship Id="rId24" Type="http://schemas.openxmlformats.org/officeDocument/2006/relationships/footer" Target="footer12.xml"/><Relationship Id="rId23" Type="http://schemas.openxmlformats.org/officeDocument/2006/relationships/footer" Target="footer11.xml"/><Relationship Id="rId22" Type="http://schemas.openxmlformats.org/officeDocument/2006/relationships/header" Target="header12.xml"/><Relationship Id="rId21" Type="http://schemas.openxmlformats.org/officeDocument/2006/relationships/footer" Target="footer10.xml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header" Target="header10.xml"/><Relationship Id="rId17" Type="http://schemas.openxmlformats.org/officeDocument/2006/relationships/footer" Target="footer8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2024-09-20T09:47:54Z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2024-09-20T10:43:32</vt:filetime>
  </property>
</Properties>
</file>