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1721"/>
        <w:spacing w:before="111" w:line="218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9"/>
        </w:rPr>
        <w:t>古 县 防 震 减 灾 服 务 中 心</w:t>
      </w:r>
    </w:p>
    <w:p>
      <w:pPr>
        <w:pStyle w:val="BodyText"/>
        <w:spacing w:line="319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1491"/>
        <w:spacing w:before="111" w:line="217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1"/>
        </w:rPr>
        <w:t>2 0 2 3</w:t>
      </w:r>
      <w:r>
        <w:rPr>
          <w:rFonts w:ascii="SimSun" w:hAnsi="SimSun" w:eastAsia="SimSun" w:cs="SimSun"/>
          <w:sz w:val="34"/>
          <w:szCs w:val="34"/>
          <w:spacing w:val="-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年 度</w:t>
      </w:r>
      <w:r>
        <w:rPr>
          <w:rFonts w:ascii="SimSun" w:hAnsi="SimSun" w:eastAsia="SimSun" w:cs="SimSun"/>
          <w:sz w:val="34"/>
          <w:szCs w:val="34"/>
          <w:spacing w:val="-8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单</w:t>
      </w:r>
      <w:r>
        <w:rPr>
          <w:rFonts w:ascii="SimSun" w:hAnsi="SimSun" w:eastAsia="SimSun" w:cs="SimSun"/>
          <w:sz w:val="34"/>
          <w:szCs w:val="34"/>
          <w:spacing w:val="-1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位</w:t>
      </w:r>
      <w:r>
        <w:rPr>
          <w:rFonts w:ascii="SimSun" w:hAnsi="SimSun" w:eastAsia="SimSun" w:cs="SimSun"/>
          <w:sz w:val="34"/>
          <w:szCs w:val="34"/>
          <w:spacing w:val="-12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决</w:t>
      </w:r>
      <w:r>
        <w:rPr>
          <w:rFonts w:ascii="SimSun" w:hAnsi="SimSun" w:eastAsia="SimSun" w:cs="SimSun"/>
          <w:sz w:val="34"/>
          <w:szCs w:val="34"/>
          <w:spacing w:val="-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20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11"/>
        <w:spacing w:before="275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古县防震减灾服务中心主要职责是：</w:t>
      </w:r>
    </w:p>
    <w:p>
      <w:pPr>
        <w:ind w:left="1091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（一）协助编制防震减灾中长期发展规划，制定防震减灾年度计划。</w:t>
      </w:r>
    </w:p>
    <w:p>
      <w:pPr>
        <w:ind w:left="712" w:right="805" w:firstLine="379"/>
        <w:spacing w:before="128" w:line="27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（二）贯彻落实县委、县政府及上级主管部门防震减灾决策部署，提出防震减灾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方面建议。</w:t>
      </w:r>
    </w:p>
    <w:p>
      <w:pPr>
        <w:ind w:left="1091"/>
        <w:spacing w:before="126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（三）负责地震监测预报和预警工作。</w:t>
      </w:r>
    </w:p>
    <w:p>
      <w:pPr>
        <w:ind w:left="109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（四）组织实施地震监测、预警台网规划建设和维护管理工作。</w:t>
      </w:r>
    </w:p>
    <w:p>
      <w:pPr>
        <w:ind w:left="1091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（五）协助有关部门依法保护辖区内地震监测预警设施和环境。</w:t>
      </w:r>
    </w:p>
    <w:p>
      <w:pPr>
        <w:ind w:left="723" w:right="805" w:firstLine="368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（六）组织本县地震宏、微观异常落实和震情跟踪，组织全县震情会商和区域联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防工作。</w:t>
      </w:r>
    </w:p>
    <w:p>
      <w:pPr>
        <w:ind w:left="109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（七）承担重大活动和重要时段的地震安全保障工作。</w:t>
      </w:r>
    </w:p>
    <w:p>
      <w:pPr>
        <w:ind w:left="1091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（八）负责全县地震信息网络建设和维护管理工作。</w:t>
      </w:r>
    </w:p>
    <w:p>
      <w:pPr>
        <w:ind w:left="751" w:right="805" w:firstLine="340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（九）承担地震烈度区划和震害预测工作技术支撑，承担震害防御基础研究和项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目服务工作。</w:t>
      </w:r>
    </w:p>
    <w:p>
      <w:pPr>
        <w:ind w:left="706" w:right="805" w:firstLine="38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（十）承担震情值班、地震速报、震情信息收集报送、震后趋势判定、地震现场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震情监测工作，协助做好烈度评定、灾害调查及损失评估。</w:t>
      </w:r>
    </w:p>
    <w:p>
      <w:pPr>
        <w:ind w:left="710" w:right="1057" w:firstLine="381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（十一）负责全县地震应急指挥技术支撑体系、会议系统提升、建设、维护工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1"/>
        </w:rPr>
        <w:t>作。</w:t>
      </w:r>
    </w:p>
    <w:p>
      <w:pPr>
        <w:ind w:left="716" w:right="805" w:firstLine="375"/>
        <w:spacing w:before="44" w:line="30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（十二）开展防震减灾宣传教育工作，普及防震减灾知识，提高全社会防震减灾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意识。</w:t>
      </w:r>
    </w:p>
    <w:p>
      <w:pPr>
        <w:ind w:left="1091" w:right="2854"/>
        <w:spacing w:before="37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（十三）配合相关部门做好辖区内涉震舆情监测与处理工作。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（十四）完成县应急管理局交办的其他工作任务。</w:t>
      </w:r>
    </w:p>
    <w:p>
      <w:pPr>
        <w:ind w:left="1208"/>
        <w:spacing w:before="188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13" w:right="931" w:firstLine="630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根据主要职责，古县防震减灾服务中心设2个内设机构，分别是：办公室、综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合业务股</w:t>
      </w:r>
    </w:p>
    <w:p>
      <w:pPr>
        <w:spacing w:line="304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部门名称：古县防震减灾服务中心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45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118.33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11.52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9.32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0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97.41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0.08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118.33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118.33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118.33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118.33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部门名称：古县防震减灾服务中心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79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82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9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3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7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1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30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30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6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4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118.33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118.33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11.52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11.52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11.52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11.52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0.94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0.94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10.57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10.57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9" w:right="28" w:hanging="1"/>
              <w:spacing w:before="5" w:line="202" w:lineRule="auto"/>
              <w:rPr/>
            </w:pPr>
            <w:r>
              <w:rPr>
                <w:color w:val="212529"/>
                <w:spacing w:val="-3"/>
              </w:rPr>
              <w:t>灾害防治及应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急管理支出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97.41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97.41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22405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3"/>
              </w:rPr>
              <w:t>地震事务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97.41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97.41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2240501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7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49.54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49.54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2240550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地震事业机构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47.87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47.87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53"/>
        <w:gridCol w:w="1247"/>
        <w:gridCol w:w="1307"/>
        <w:gridCol w:w="1307"/>
        <w:gridCol w:w="1127"/>
        <w:gridCol w:w="551"/>
        <w:gridCol w:w="959"/>
        <w:gridCol w:w="965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5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0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0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65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3" w:hRule="atLeast"/>
        </w:trPr>
        <w:tc>
          <w:tcPr>
            <w:tcW w:w="410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部门名称：古县防震减灾服务中心</w:t>
            </w:r>
          </w:p>
        </w:tc>
        <w:tc>
          <w:tcPr>
            <w:tcW w:w="243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24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88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800" w:type="dxa"/>
            <w:vAlign w:val="top"/>
            <w:gridSpan w:val="2"/>
          </w:tcPr>
          <w:p>
            <w:pPr>
              <w:ind w:left="1197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15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7"/>
              <w:spacing w:before="215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1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2" w:right="107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8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7" w:right="44" w:hanging="270"/>
              <w:spacing w:before="12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89"/>
              <w:spacing w:line="213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399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244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800" w:type="dxa"/>
            <w:vAlign w:val="top"/>
            <w:gridSpan w:val="2"/>
          </w:tcPr>
          <w:p>
            <w:pPr>
              <w:pStyle w:val="TableText"/>
              <w:ind w:left="1203"/>
              <w:spacing w:before="48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307" w:type="dxa"/>
            <w:vAlign w:val="top"/>
          </w:tcPr>
          <w:p>
            <w:pPr>
              <w:ind w:left="599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307" w:type="dxa"/>
            <w:vAlign w:val="top"/>
          </w:tcPr>
          <w:p>
            <w:pPr>
              <w:ind w:left="593"/>
              <w:spacing w:before="8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27" w:type="dxa"/>
            <w:vAlign w:val="top"/>
          </w:tcPr>
          <w:p>
            <w:pPr>
              <w:ind w:left="504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51" w:type="dxa"/>
            <w:vAlign w:val="top"/>
          </w:tcPr>
          <w:p>
            <w:pPr>
              <w:ind w:left="217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59" w:type="dxa"/>
            <w:vAlign w:val="top"/>
          </w:tcPr>
          <w:p>
            <w:pPr>
              <w:ind w:left="422"/>
              <w:spacing w:before="84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65" w:type="dxa"/>
            <w:vAlign w:val="top"/>
          </w:tcPr>
          <w:p>
            <w:pPr>
              <w:ind w:left="425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800" w:type="dxa"/>
            <w:vAlign w:val="top"/>
            <w:gridSpan w:val="2"/>
          </w:tcPr>
          <w:p>
            <w:pPr>
              <w:pStyle w:val="TableText"/>
              <w:ind w:left="1204"/>
              <w:spacing w:before="4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118.33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5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115.73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right="23"/>
              <w:spacing w:before="7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2.60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 w:right="160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35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11.52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36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11.52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" w:right="160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35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11.52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36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11.52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 w:right="160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0.94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0.94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 w:right="160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35"/>
              <w:spacing w:before="234" w:line="184" w:lineRule="auto"/>
              <w:rPr/>
            </w:pPr>
            <w:r>
              <w:rPr>
                <w:color w:val="212529"/>
                <w:spacing w:val="-5"/>
              </w:rPr>
              <w:t>10.57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36"/>
              <w:spacing w:before="234" w:line="184" w:lineRule="auto"/>
              <w:rPr/>
            </w:pPr>
            <w:r>
              <w:rPr>
                <w:color w:val="212529"/>
                <w:spacing w:val="-5"/>
              </w:rPr>
              <w:t>10.57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5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5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3"/>
              <w:spacing w:before="52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5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9" w:right="160" w:hanging="1"/>
              <w:spacing w:before="5" w:line="202" w:lineRule="auto"/>
              <w:rPr/>
            </w:pPr>
            <w:r>
              <w:rPr>
                <w:color w:val="212529"/>
                <w:spacing w:val="-3"/>
              </w:rPr>
              <w:t>灾害防治及应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急管理支出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22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97.41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24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94.89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right="23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2.52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22405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3"/>
              </w:rPr>
              <w:t>地震事务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22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97.41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24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94.89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2.52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2240501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2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49.54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22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47.02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2.52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2240550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地震事业机构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2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47.87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822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47.87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  <w:tc>
          <w:tcPr>
            <w:tcW w:w="1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  <w:tc>
          <w:tcPr>
            <w:tcW w:w="1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  <w:tc>
          <w:tcPr>
            <w:tcW w:w="1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部门名称：古县防震减灾服务中心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7" w:line="184" w:lineRule="auto"/>
              <w:rPr/>
            </w:pPr>
            <w:r>
              <w:rPr>
                <w:color w:val="212529"/>
                <w:spacing w:val="-4"/>
              </w:rPr>
              <w:t>118.33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406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11.52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5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11.52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3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97.41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2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97.41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8" w:line="184" w:lineRule="auto"/>
              <w:rPr/>
            </w:pPr>
            <w:r>
              <w:rPr>
                <w:color w:val="212529"/>
                <w:spacing w:val="-4"/>
              </w:rPr>
              <w:t>118.33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118.33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118.33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118.33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118.33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118.33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28"/>
        <w:gridCol w:w="2722"/>
        <w:gridCol w:w="1618"/>
        <w:gridCol w:w="1475"/>
        <w:gridCol w:w="1373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2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2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773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55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部门名称：古县防震减灾服务中心</w:t>
            </w:r>
          </w:p>
        </w:tc>
        <w:tc>
          <w:tcPr>
            <w:tcW w:w="1618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15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75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338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550" w:type="dxa"/>
            <w:vAlign w:val="top"/>
            <w:gridSpan w:val="2"/>
          </w:tcPr>
          <w:p>
            <w:pPr>
              <w:ind w:left="2073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466" w:type="dxa"/>
            <w:vAlign w:val="top"/>
            <w:gridSpan w:val="3"/>
          </w:tcPr>
          <w:p>
            <w:pPr>
              <w:ind w:left="1851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28" w:type="dxa"/>
            <w:vAlign w:val="top"/>
          </w:tcPr>
          <w:p>
            <w:pPr>
              <w:ind w:left="531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722" w:type="dxa"/>
            <w:vAlign w:val="top"/>
          </w:tcPr>
          <w:p>
            <w:pPr>
              <w:ind w:left="977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618" w:type="dxa"/>
            <w:vAlign w:val="top"/>
          </w:tcPr>
          <w:p>
            <w:pPr>
              <w:ind w:left="609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75" w:type="dxa"/>
            <w:vAlign w:val="top"/>
          </w:tcPr>
          <w:p>
            <w:pPr>
              <w:ind w:left="362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373" w:type="dxa"/>
            <w:vAlign w:val="top"/>
          </w:tcPr>
          <w:p>
            <w:pPr>
              <w:ind w:left="306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550" w:type="dxa"/>
            <w:vAlign w:val="top"/>
            <w:gridSpan w:val="2"/>
          </w:tcPr>
          <w:p>
            <w:pPr>
              <w:ind w:left="2071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759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79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373" w:type="dxa"/>
            <w:vAlign w:val="top"/>
          </w:tcPr>
          <w:p>
            <w:pPr>
              <w:pStyle w:val="TableText"/>
              <w:ind w:left="627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550" w:type="dxa"/>
            <w:vAlign w:val="top"/>
            <w:gridSpan w:val="2"/>
          </w:tcPr>
          <w:p>
            <w:pPr>
              <w:pStyle w:val="TableText"/>
              <w:ind w:left="2080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118.33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115.73</w:t>
            </w:r>
          </w:p>
        </w:tc>
        <w:tc>
          <w:tcPr>
            <w:tcW w:w="1373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2.60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722" w:type="dxa"/>
            <w:vAlign w:val="top"/>
          </w:tcPr>
          <w:p>
            <w:pPr>
              <w:pStyle w:val="TableText"/>
              <w:ind w:left="6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149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11.52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1008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11.52</w:t>
            </w:r>
          </w:p>
        </w:tc>
        <w:tc>
          <w:tcPr>
            <w:tcW w:w="13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722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149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11.52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1008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11.52</w:t>
            </w:r>
          </w:p>
        </w:tc>
        <w:tc>
          <w:tcPr>
            <w:tcW w:w="13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722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0.94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0.94</w:t>
            </w:r>
          </w:p>
        </w:tc>
        <w:tc>
          <w:tcPr>
            <w:tcW w:w="13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722" w:type="dxa"/>
            <w:vAlign w:val="top"/>
          </w:tcPr>
          <w:p>
            <w:pPr>
              <w:pStyle w:val="TableText"/>
              <w:ind w:left="5" w:right="194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149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10.57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1008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10.57</w:t>
            </w:r>
          </w:p>
        </w:tc>
        <w:tc>
          <w:tcPr>
            <w:tcW w:w="13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722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1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13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722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13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722" w:type="dxa"/>
            <w:vAlign w:val="top"/>
          </w:tcPr>
          <w:p>
            <w:pPr>
              <w:pStyle w:val="TableText"/>
              <w:ind w:left="4"/>
              <w:spacing w:before="6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  <w:tc>
          <w:tcPr>
            <w:tcW w:w="13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2722" w:type="dxa"/>
            <w:vAlign w:val="top"/>
          </w:tcPr>
          <w:p>
            <w:pPr>
              <w:pStyle w:val="TableText"/>
              <w:ind w:left="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灾害防治及应急管理支出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137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97.41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995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94.89</w:t>
            </w:r>
          </w:p>
        </w:tc>
        <w:tc>
          <w:tcPr>
            <w:tcW w:w="1373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2.52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22405</w:t>
            </w:r>
          </w:p>
        </w:tc>
        <w:tc>
          <w:tcPr>
            <w:tcW w:w="2722" w:type="dxa"/>
            <w:vAlign w:val="top"/>
          </w:tcPr>
          <w:p>
            <w:pPr>
              <w:pStyle w:val="TableText"/>
              <w:ind w:left="5"/>
              <w:spacing w:before="66" w:line="219" w:lineRule="auto"/>
              <w:rPr/>
            </w:pPr>
            <w:r>
              <w:rPr>
                <w:color w:val="212529"/>
                <w:spacing w:val="-3"/>
              </w:rPr>
              <w:t>地震事务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137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97.41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995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94.89</w:t>
            </w:r>
          </w:p>
        </w:tc>
        <w:tc>
          <w:tcPr>
            <w:tcW w:w="1373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2.52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2240501</w:t>
            </w:r>
          </w:p>
        </w:tc>
        <w:tc>
          <w:tcPr>
            <w:tcW w:w="2722" w:type="dxa"/>
            <w:vAlign w:val="top"/>
          </w:tcPr>
          <w:p>
            <w:pPr>
              <w:pStyle w:val="TableText"/>
              <w:ind w:left="8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135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49.54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994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47.02</w:t>
            </w:r>
          </w:p>
        </w:tc>
        <w:tc>
          <w:tcPr>
            <w:tcW w:w="1373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2.52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2240550</w:t>
            </w:r>
          </w:p>
        </w:tc>
        <w:tc>
          <w:tcPr>
            <w:tcW w:w="2722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地震事业机构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135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47.87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994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47.87</w:t>
            </w:r>
          </w:p>
        </w:tc>
        <w:tc>
          <w:tcPr>
            <w:tcW w:w="13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722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722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</w:tr>
      <w:tr>
        <w:trPr>
          <w:trHeight w:val="326" w:hRule="atLeast"/>
        </w:trPr>
        <w:tc>
          <w:tcPr>
            <w:tcW w:w="1828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722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3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0.08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部门名称：古县防震减灾服务中心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104.06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10.72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38.91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18.33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1.65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3.27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18.02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4.63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1.02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9.32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1.71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1.34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1.88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105.00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10.72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部门名称：古县防震减灾服务中心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部门名称：古县防震减灾服务中心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部门名称：古县防震减灾服务中心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8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8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单位名称：古县防震减灾服务中心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31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10.72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6" w:right="924" w:firstLine="499"/>
        <w:spacing w:before="13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2023年度收入总计118.33万元，支出总计118.33万元。与上年相比，收入总计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增加5.52万元，增长4.89%，支出总</w:t>
      </w:r>
      <w:r>
        <w:rPr>
          <w:rFonts w:ascii="FangSong" w:hAnsi="FangSong" w:eastAsia="FangSong" w:cs="FangSong"/>
          <w:sz w:val="25"/>
          <w:szCs w:val="25"/>
          <w:spacing w:val="1"/>
        </w:rPr>
        <w:t>计增加5.52万元，增长4.89%。主要原因是2023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年新增2名事业人员。</w:t>
      </w:r>
    </w:p>
    <w:p>
      <w:pPr>
        <w:ind w:left="1202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2023年度收入合计118.33万元，其中：</w:t>
      </w:r>
    </w:p>
    <w:p>
      <w:pPr>
        <w:ind w:left="1212" w:right="4898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财政拨款收入118.33万元，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277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2023年度支出合计118.33万元，其中：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基本支出115.73万元，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占比97.80%；</w:t>
      </w:r>
    </w:p>
    <w:p>
      <w:pPr>
        <w:ind w:left="12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项目支出2.60万元，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占比2.20%；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2023年度财政拨款收入总计118.33万元，支出总计118.33万元。与上年相比，</w:t>
      </w:r>
    </w:p>
    <w:p>
      <w:pPr>
        <w:ind w:left="706" w:right="805" w:firstLine="3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财政拨款收入总计增加5.52万元，增长4.89%；财政拨款支出总计增加5.52万元，增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长4.89%。主要原因是2023年新增2名事业人员。</w:t>
      </w:r>
    </w:p>
    <w:p>
      <w:pPr>
        <w:ind w:left="1204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2023年一般公共预算财政拨款决算支出118.</w:t>
      </w:r>
      <w:r>
        <w:rPr>
          <w:rFonts w:ascii="FangSong" w:hAnsi="FangSong" w:eastAsia="FangSong" w:cs="FangSong"/>
          <w:sz w:val="25"/>
          <w:szCs w:val="25"/>
          <w:spacing w:val="-1"/>
        </w:rPr>
        <w:t>33万元，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11" w:right="925" w:firstLine="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100.00%。与上年相比，一般公共预算财政拨款支出增加5.52万元，增长4.89%。主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要原因是2023年新增2名事业人员。</w:t>
      </w:r>
    </w:p>
    <w:p>
      <w:pPr>
        <w:ind w:left="12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210" w:right="1748" w:hanging="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2023年度一般公共预算财政拨款支出118.33万元，主要用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社会保障和就业支出(类)11.52万元</w:t>
      </w:r>
      <w:r>
        <w:rPr>
          <w:rFonts w:ascii="FangSong" w:hAnsi="FangSong" w:eastAsia="FangSong" w:cs="FangSong"/>
          <w:sz w:val="25"/>
          <w:szCs w:val="25"/>
          <w:spacing w:val="-2"/>
        </w:rPr>
        <w:t>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占比9.73%；</w:t>
      </w:r>
    </w:p>
    <w:p>
      <w:pPr>
        <w:ind w:left="1210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住房保障支出(类)9.32万元，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占比7.87%；</w:t>
      </w:r>
    </w:p>
    <w:p>
      <w:pPr>
        <w:spacing w:line="222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212" w:right="3385" w:firstLine="1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灾害防治及应急管理支出(类)97.41万元，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占比82.32%；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其他支出(类)0.08万元，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占比0.07%。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0" w:right="937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2023年度一般公共预算财政拨款支出年初预算116.78万元，支出决算118.33万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元，完成年初预算的101.33%。其中：</w:t>
      </w:r>
    </w:p>
    <w:p>
      <w:pPr>
        <w:ind w:left="706" w:right="811" w:firstLine="1019"/>
        <w:spacing w:before="43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1、灾害防治及应急管理支出年初预算95.49万元，支出决算97.41万元</w:t>
      </w:r>
      <w:r>
        <w:rPr>
          <w:rFonts w:ascii="FangSong" w:hAnsi="FangSong" w:eastAsia="FangSong" w:cs="FangSong"/>
          <w:sz w:val="25"/>
          <w:szCs w:val="25"/>
        </w:rPr>
        <w:t>，完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成年初预算的102.01%，用于人员经费、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</w:t>
      </w:r>
      <w:r>
        <w:rPr>
          <w:rFonts w:ascii="FangSong" w:hAnsi="FangSong" w:eastAsia="FangSong" w:cs="FangSong"/>
          <w:sz w:val="25"/>
          <w:szCs w:val="25"/>
          <w:spacing w:val="-1"/>
        </w:rPr>
        <w:t>经费、其他支出等。较上年决算增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加2.86万元，增加3.02%，主要原因是2023年人员工资普调、新增公务员目标考核</w:t>
      </w:r>
    </w:p>
    <w:p>
      <w:pPr>
        <w:ind w:left="711"/>
        <w:spacing w:before="128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1"/>
        </w:rPr>
        <w:t>奖。</w:t>
      </w:r>
    </w:p>
    <w:p>
      <w:pPr>
        <w:ind w:left="706" w:right="811" w:firstLine="499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2、社会保障和就业支出年初预算11.91万元，支出决算11.52万元，完成年初预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算的96.73%，用于社会保障缴费支出。较2022年决算增加1.85万元，增加19.13%，</w:t>
      </w:r>
    </w:p>
    <w:p>
      <w:pPr>
        <w:ind w:left="713"/>
        <w:spacing w:before="4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主要原因是2023年新增职业年金记实。</w:t>
      </w:r>
    </w:p>
    <w:p>
      <w:pPr>
        <w:ind w:left="1208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3、住房保障支出年初预算9.38万元，支出决算9.32万元，完成年初预算的</w:t>
      </w:r>
    </w:p>
    <w:p>
      <w:pPr>
        <w:ind w:left="707" w:right="811" w:hanging="7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99.36%，用于住房公积金支出。较2022年决算增加0.72万元，增加8.37%，主要原因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是2023年住房公积金基数增加。</w:t>
      </w:r>
    </w:p>
    <w:p>
      <w:pPr>
        <w:ind w:left="1202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4、其他支出年初预算0万元，支出决算0.08万元，完成年</w:t>
      </w:r>
      <w:r>
        <w:rPr>
          <w:rFonts w:ascii="FangSong" w:hAnsi="FangSong" w:eastAsia="FangSong" w:cs="FangSong"/>
          <w:sz w:val="25"/>
          <w:szCs w:val="25"/>
        </w:rPr>
        <w:t>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</w:t>
      </w:r>
    </w:p>
    <w:p>
      <w:pPr>
        <w:ind w:left="711" w:right="811" w:hanging="9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2021年度公务员目标责任考核奖金支出。较2022年决算增加</w:t>
      </w:r>
      <w:r>
        <w:rPr>
          <w:rFonts w:ascii="FangSong" w:hAnsi="FangSong" w:eastAsia="FangSong" w:cs="FangSong"/>
          <w:sz w:val="25"/>
          <w:szCs w:val="25"/>
        </w:rPr>
        <w:t>0.41万元，增加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要原因是2023年增加公务员目标责任考核奖。</w:t>
      </w:r>
    </w:p>
    <w:p>
      <w:pPr>
        <w:ind w:left="1205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2023年度财政拨款基本支出115.73万元，其中：</w:t>
      </w:r>
    </w:p>
    <w:p>
      <w:pPr>
        <w:ind w:left="706" w:right="936" w:firstLine="508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人员经费105.00万元，主要包括基本工资38.91万元、津贴补贴18.33万元、奖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金3.27万元、绩效工资18.02万元、其他社会保险缴费16.21万元、住房公积金9.32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万元、对个人和家庭的补助0.94万元支出；</w:t>
      </w:r>
    </w:p>
    <w:p>
      <w:pPr>
        <w:ind w:left="708" w:right="811" w:firstLine="507"/>
        <w:spacing w:before="43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公用经费10.72万元，主要包括办公费2.5万元、印刷费1.65万元、劳务费1.71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万元、工会经费1.34万元、福利费1.88万元、其他交通费用1.5万元、其他商品和服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务支出0.14万元。</w:t>
      </w:r>
    </w:p>
    <w:p>
      <w:pPr>
        <w:ind w:left="1197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198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11" w:right="925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spacing w:line="304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3" w:lineRule="auto"/>
        <w:rPr/>
      </w:pPr>
      <w:r/>
    </w:p>
    <w:p>
      <w:pPr>
        <w:ind w:left="707" w:right="1309" w:firstLine="528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是：本单位无因公出国（境）费支出；</w:t>
      </w:r>
    </w:p>
    <w:p>
      <w:pPr>
        <w:ind w:left="711" w:right="805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707" w:right="1057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ind w:left="709" w:right="805" w:firstLine="506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本部门无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因公出国（境）。</w:t>
      </w:r>
    </w:p>
    <w:p>
      <w:pPr>
        <w:ind w:left="731" w:right="793" w:firstLine="474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2、公务用车购置支出0万元，使用财政拨款共购置公务用车0辆，主要用于本部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门无公务用车。</w:t>
      </w:r>
    </w:p>
    <w:p>
      <w:pPr>
        <w:ind w:left="712" w:right="793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车，主要用于：本部门无公务用车。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7" w:right="781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待0批次，0人次，其中外事接待费0万元，共接待0批次，0人次，主要是接待本部门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无国内接待；国（境）外接待费0万元，共接待国（境）外0批次，0人次，</w:t>
      </w:r>
      <w:r>
        <w:rPr>
          <w:rFonts w:ascii="FangSong" w:hAnsi="FangSong" w:eastAsia="FangSong" w:cs="FangSong"/>
          <w:sz w:val="25"/>
          <w:szCs w:val="25"/>
          <w:spacing w:val="1"/>
        </w:rPr>
        <w:t>主要是本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部门无国（境）外接待。</w:t>
      </w:r>
    </w:p>
    <w:p>
      <w:pPr>
        <w:ind w:left="1201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711" w:right="805" w:firstLine="49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2023年机关运行经费支出10.72万元，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比2022年增加1.71万元，增长18.98%，主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要原因本单位2023年新增2名事业人员。</w:t>
      </w:r>
    </w:p>
    <w:p>
      <w:pPr>
        <w:ind w:left="12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6" w:right="805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2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他用车主要是本部门无其他用车；单价100万元（含）以上设备（不含车辆）0台</w:t>
      </w:r>
    </w:p>
    <w:p>
      <w:pPr>
        <w:ind w:left="7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spacing w:line="227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221"/>
        <w:spacing w:before="81" w:line="222" w:lineRule="auto"/>
        <w:rPr>
          <w:rFonts w:ascii="SimHei" w:hAnsi="SimHei" w:eastAsia="SimHei" w:cs="SimHei"/>
          <w:sz w:val="25"/>
          <w:szCs w:val="25"/>
        </w:rPr>
      </w:pPr>
      <w:bookmarkStart w:name="bookmark42" w:id="67"/>
      <w:bookmarkEnd w:id="67"/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17" w:right="812" w:hanging="15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4"/>
        </w:rPr>
        <w:t>2023年二级项目绩效自评个数3个，涉及资金2.61</w:t>
      </w:r>
      <w:r>
        <w:rPr>
          <w:rFonts w:ascii="FangSong" w:hAnsi="FangSong" w:eastAsia="FangSong" w:cs="FangSong"/>
          <w:sz w:val="25"/>
          <w:szCs w:val="25"/>
          <w:spacing w:val="3"/>
        </w:rPr>
        <w:t>万元：3个项目自评等级为“优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3"/>
        </w:rPr>
        <w:t>”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</w:p>
    <w:p>
      <w:pPr>
        <w:ind w:left="707" w:right="6860" w:firstLine="498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本单位无其他事项</w:t>
      </w:r>
    </w:p>
    <w:p>
      <w:pPr>
        <w:spacing w:line="303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十三、一般公共服务支出：反映政府提供一般公共服务的支出。</w:t>
      </w:r>
    </w:p>
    <w:p>
      <w:pPr>
        <w:ind w:left="7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十四、社会保障和就业支出：反映政府在社会保障与就业方面的支出。</w:t>
      </w:r>
    </w:p>
    <w:p>
      <w:pPr>
        <w:ind w:left="7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十五、住房保障支出：集中反映政府用于住房方面的支出。</w:t>
      </w:r>
    </w:p>
    <w:p>
      <w:pPr>
        <w:ind w:left="7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十六、其他支出：反映不能划分到上述功能科目的其他政府支出</w:t>
      </w:r>
    </w:p>
    <w:p>
      <w:pPr>
        <w:spacing w:line="223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45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10" style="position:absolute;margin-left:26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2"/>
          <w:pgSz w:w="11900" w:h="16840"/>
          <w:pgMar w:top="610" w:right="600" w:bottom="255" w:left="60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57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古县防震减灾服务中心2023年单位决算公开报告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古县防震减灾服务中心2023年单位决算公开报告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1" Type="http://schemas.openxmlformats.org/officeDocument/2006/relationships/fontTable" Target="fontTable.xml"/><Relationship Id="rId60" Type="http://schemas.openxmlformats.org/officeDocument/2006/relationships/styles" Target="styles.xml"/><Relationship Id="rId6" Type="http://schemas.openxmlformats.org/officeDocument/2006/relationships/footer" Target="footer5.xml"/><Relationship Id="rId59" Type="http://schemas.openxmlformats.org/officeDocument/2006/relationships/settings" Target="settings.xml"/><Relationship Id="rId58" Type="http://schemas.openxmlformats.org/officeDocument/2006/relationships/image" Target="media/image18.jpeg"/><Relationship Id="rId57" Type="http://schemas.openxmlformats.org/officeDocument/2006/relationships/footer" Target="footer38.xml"/><Relationship Id="rId56" Type="http://schemas.openxmlformats.org/officeDocument/2006/relationships/image" Target="media/image17.jpeg"/><Relationship Id="rId55" Type="http://schemas.openxmlformats.org/officeDocument/2006/relationships/footer" Target="footer37.xml"/><Relationship Id="rId54" Type="http://schemas.openxmlformats.org/officeDocument/2006/relationships/image" Target="media/image16.jpeg"/><Relationship Id="rId53" Type="http://schemas.openxmlformats.org/officeDocument/2006/relationships/footer" Target="footer36.xml"/><Relationship Id="rId52" Type="http://schemas.openxmlformats.org/officeDocument/2006/relationships/image" Target="media/image15.jpeg"/><Relationship Id="rId51" Type="http://schemas.openxmlformats.org/officeDocument/2006/relationships/footer" Target="footer35.xml"/><Relationship Id="rId50" Type="http://schemas.openxmlformats.org/officeDocument/2006/relationships/image" Target="media/image14.jpeg"/><Relationship Id="rId5" Type="http://schemas.openxmlformats.org/officeDocument/2006/relationships/footer" Target="footer4.xml"/><Relationship Id="rId49" Type="http://schemas.openxmlformats.org/officeDocument/2006/relationships/footer" Target="footer34.xml"/><Relationship Id="rId48" Type="http://schemas.openxmlformats.org/officeDocument/2006/relationships/image" Target="media/image13.jpeg"/><Relationship Id="rId47" Type="http://schemas.openxmlformats.org/officeDocument/2006/relationships/footer" Target="footer33.xml"/><Relationship Id="rId46" Type="http://schemas.openxmlformats.org/officeDocument/2006/relationships/image" Target="media/image12.jpeg"/><Relationship Id="rId45" Type="http://schemas.openxmlformats.org/officeDocument/2006/relationships/footer" Target="footer32.xml"/><Relationship Id="rId44" Type="http://schemas.openxmlformats.org/officeDocument/2006/relationships/image" Target="media/image11.jpeg"/><Relationship Id="rId43" Type="http://schemas.openxmlformats.org/officeDocument/2006/relationships/footer" Target="footer31.xml"/><Relationship Id="rId42" Type="http://schemas.openxmlformats.org/officeDocument/2006/relationships/image" Target="media/image10.jpeg"/><Relationship Id="rId41" Type="http://schemas.openxmlformats.org/officeDocument/2006/relationships/footer" Target="footer30.xml"/><Relationship Id="rId40" Type="http://schemas.openxmlformats.org/officeDocument/2006/relationships/image" Target="media/image9.jpeg"/><Relationship Id="rId4" Type="http://schemas.openxmlformats.org/officeDocument/2006/relationships/footer" Target="footer3.xml"/><Relationship Id="rId39" Type="http://schemas.openxmlformats.org/officeDocument/2006/relationships/footer" Target="footer29.xml"/><Relationship Id="rId38" Type="http://schemas.openxmlformats.org/officeDocument/2006/relationships/image" Target="media/image8.jpeg"/><Relationship Id="rId37" Type="http://schemas.openxmlformats.org/officeDocument/2006/relationships/footer" Target="footer28.xml"/><Relationship Id="rId36" Type="http://schemas.openxmlformats.org/officeDocument/2006/relationships/image" Target="media/image7.jpeg"/><Relationship Id="rId35" Type="http://schemas.openxmlformats.org/officeDocument/2006/relationships/footer" Target="footer27.xml"/><Relationship Id="rId34" Type="http://schemas.openxmlformats.org/officeDocument/2006/relationships/image" Target="media/image6.jpeg"/><Relationship Id="rId33" Type="http://schemas.openxmlformats.org/officeDocument/2006/relationships/footer" Target="footer26.xml"/><Relationship Id="rId32" Type="http://schemas.openxmlformats.org/officeDocument/2006/relationships/image" Target="media/image5.jpeg"/><Relationship Id="rId31" Type="http://schemas.openxmlformats.org/officeDocument/2006/relationships/footer" Target="footer25.xml"/><Relationship Id="rId30" Type="http://schemas.openxmlformats.org/officeDocument/2006/relationships/image" Target="media/image4.jpeg"/><Relationship Id="rId3" Type="http://schemas.openxmlformats.org/officeDocument/2006/relationships/footer" Target="footer2.xml"/><Relationship Id="rId29" Type="http://schemas.openxmlformats.org/officeDocument/2006/relationships/footer" Target="footer24.xml"/><Relationship Id="rId28" Type="http://schemas.openxmlformats.org/officeDocument/2006/relationships/image" Target="media/image3.jpeg"/><Relationship Id="rId27" Type="http://schemas.openxmlformats.org/officeDocument/2006/relationships/footer" Target="footer23.xml"/><Relationship Id="rId26" Type="http://schemas.openxmlformats.org/officeDocument/2006/relationships/image" Target="media/image2.jpeg"/><Relationship Id="rId25" Type="http://schemas.openxmlformats.org/officeDocument/2006/relationships/footer" Target="footer22.xml"/><Relationship Id="rId24" Type="http://schemas.openxmlformats.org/officeDocument/2006/relationships/image" Target="media/image1.jpeg"/><Relationship Id="rId23" Type="http://schemas.openxmlformats.org/officeDocument/2006/relationships/footer" Target="footer21.xml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2024-09-06T18:19:12Z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2024-09-20T10:42:08</vt:filetime>
  </property>
</Properties>
</file>