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sz w:val="44"/>
          <w:szCs w:val="44"/>
        </w:rPr>
        <w:t>年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古</w:t>
      </w:r>
      <w:r>
        <w:rPr>
          <w:rFonts w:ascii="宋体" w:hAnsi="宋体" w:eastAsia="宋体" w:cs="宋体"/>
          <w:sz w:val="44"/>
          <w:szCs w:val="44"/>
        </w:rPr>
        <w:t>县地方政府债务情况说明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年我县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严格按照预算法规定，对地方政府债务实行预算管理和限额管理。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2025年末，上级下达我县地方政府债务限额为339791万元（其中：一般债务75101万元，专项债务264690万元）。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截至2025年底，我县政府债务余额合计339791万元（其中：一般债务75101万元，专项债务264690万元），政府债务规模均控制在上级下达的限额范围之内。</w:t>
      </w:r>
    </w:p>
    <w:p>
      <w:pPr>
        <w:spacing w:line="600" w:lineRule="exact"/>
        <w:ind w:firstLine="640" w:firstLineChars="20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2026年初未下达我县</w:t>
      </w:r>
      <w:r>
        <w:rPr>
          <w:rFonts w:hint="eastAsia" w:ascii="仿宋" w:hAnsi="仿宋" w:eastAsia="仿宋" w:cs="仿宋"/>
          <w:bCs/>
          <w:sz w:val="32"/>
          <w:szCs w:val="32"/>
        </w:rPr>
        <w:t>地方政府债务转贷收入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32F5793E"/>
    <w:rsid w:val="085B5E56"/>
    <w:rsid w:val="0E434F6D"/>
    <w:rsid w:val="246C0294"/>
    <w:rsid w:val="25CB5721"/>
    <w:rsid w:val="32F5793E"/>
    <w:rsid w:val="5ECC3FA2"/>
    <w:rsid w:val="60B15967"/>
    <w:rsid w:val="6DEB7D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uiPriority w:val="0"/>
    <w:pPr>
      <w:keepNext/>
      <w:keepLines/>
      <w:spacing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348</Characters>
  <Lines>0</Lines>
  <Paragraphs>0</Paragraphs>
  <TotalTime>9</TotalTime>
  <ScaleCrop>false</ScaleCrop>
  <LinksUpToDate>false</LinksUpToDate>
  <CharactersWithSpaces>351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2024-06-17T07:17:00Z</dcterms:created>
  <dc:creator>润润妈</dc:creator>
  <cp:lastModifiedBy>LENOVO</cp:lastModifiedBy>
  <dcterms:modified xsi:type="dcterms:W3CDTF">2026-02-24T08:49:29Z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4CE7FC7B89BC466390079F4DD06F9277_11</vt:lpwstr>
  </property>
</Properties>
</file>