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2275"/>
        <w:spacing w:before="110" w:line="216" w:lineRule="auto"/>
        <w:outlineLvl w:val="0"/>
        <w:rPr/>
      </w:pPr>
      <w:r>
        <w:rPr>
          <w:spacing w:val="-7"/>
        </w:rPr>
        <w:t>古 县 卫 生 健 康 体</w:t>
      </w:r>
      <w:r>
        <w:rPr>
          <w:spacing w:val="-2"/>
        </w:rPr>
        <w:t xml:space="preserve"> </w:t>
      </w:r>
      <w:r>
        <w:rPr>
          <w:spacing w:val="-7"/>
        </w:rPr>
        <w:t>育 综</w:t>
      </w:r>
      <w:r>
        <w:rPr>
          <w:spacing w:val="-15"/>
        </w:rPr>
        <w:t xml:space="preserve"> </w:t>
      </w:r>
      <w:r>
        <w:rPr>
          <w:spacing w:val="-7"/>
        </w:rPr>
        <w:t>合</w:t>
      </w:r>
      <w:r>
        <w:rPr>
          <w:spacing w:val="-16"/>
        </w:rPr>
        <w:t xml:space="preserve"> </w:t>
      </w:r>
      <w:r>
        <w:rPr>
          <w:spacing w:val="-7"/>
        </w:rPr>
        <w:t>行</w:t>
      </w:r>
      <w:r>
        <w:rPr>
          <w:spacing w:val="-15"/>
        </w:rPr>
        <w:t xml:space="preserve"> </w:t>
      </w:r>
      <w:r>
        <w:rPr>
          <w:spacing w:val="-7"/>
        </w:rPr>
        <w:t>政</w:t>
      </w:r>
      <w:r>
        <w:rPr>
          <w:spacing w:val="-15"/>
        </w:rPr>
        <w:t xml:space="preserve"> </w:t>
      </w:r>
      <w:r>
        <w:rPr>
          <w:spacing w:val="-7"/>
        </w:rPr>
        <w:t>执</w:t>
      </w:r>
      <w:r>
        <w:rPr>
          <w:spacing w:val="-11"/>
        </w:rPr>
        <w:t xml:space="preserve"> </w:t>
      </w:r>
      <w:r>
        <w:rPr>
          <w:spacing w:val="-7"/>
        </w:rPr>
        <w:t>法 队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left="3276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/>
      </w:pPr>
    </w:p>
    <w:p>
      <w:pPr>
        <w:spacing w:line="456" w:lineRule="auto"/>
        <w:rPr>
          <w:rFonts w:ascii="Arial"/>
          <w:sz w:val="21"/>
        </w:rPr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9" w:id="29"/>
          <w:bookmarkEnd w:id="29"/>
          <w:hyperlink w:history="true" w:anchor="bookmark29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450" w:firstLine="12"/>
        <w:spacing w:before="275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受县卫生健康和体育局委托，承担医疗卫生、公共场所卫生、饮用水卫生、职业卫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生、学校卫生、放射卫生、母婴保健、计划</w:t>
      </w:r>
      <w:r>
        <w:rPr>
          <w:rFonts w:ascii="FangSong" w:hAnsi="FangSong" w:eastAsia="FangSong" w:cs="FangSong"/>
          <w:sz w:val="25"/>
          <w:szCs w:val="25"/>
          <w:spacing w:val="1"/>
        </w:rPr>
        <w:t>生育、传染病防治、体育等方面的监督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执法工作，行使相关行政处罚、行政检查和</w:t>
      </w:r>
      <w:r>
        <w:rPr>
          <w:rFonts w:ascii="FangSong" w:hAnsi="FangSong" w:eastAsia="FangSong" w:cs="FangSong"/>
          <w:sz w:val="25"/>
          <w:szCs w:val="25"/>
          <w:spacing w:val="1"/>
        </w:rPr>
        <w:t>行政强制权；负责全县卫生健康和体育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行政执法领域违法案件的查处工作；承担复杂案件、跨区域案件的协调处置工作；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承担全县卫生健康体育执法监督信息化建设</w:t>
      </w:r>
      <w:r>
        <w:rPr>
          <w:rFonts w:ascii="FangSong" w:hAnsi="FangSong" w:eastAsia="FangSong" w:cs="FangSong"/>
          <w:sz w:val="25"/>
          <w:szCs w:val="25"/>
          <w:spacing w:val="1"/>
        </w:rPr>
        <w:t>和管理，全县卫生健康体育监督抽检工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作；协助开展卫生健康体育综合监督执法体</w:t>
      </w:r>
      <w:r>
        <w:rPr>
          <w:rFonts w:ascii="FangSong" w:hAnsi="FangSong" w:eastAsia="FangSong" w:cs="FangSong"/>
          <w:sz w:val="25"/>
          <w:szCs w:val="25"/>
          <w:spacing w:val="1"/>
        </w:rPr>
        <w:t>系建设，查处医疗服务市场违法行为，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拟订卫生健康体育综合监督执法工作制度、</w:t>
      </w:r>
      <w:r>
        <w:rPr>
          <w:rFonts w:ascii="FangSong" w:hAnsi="FangSong" w:eastAsia="FangSong" w:cs="FangSong"/>
          <w:sz w:val="25"/>
          <w:szCs w:val="25"/>
          <w:spacing w:val="1"/>
        </w:rPr>
        <w:t>技术性规范；组织全县卫生健康体育执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法监督人员业务能力提升工作；承担上级交办的其他工作。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2"/>
      <w:bookmarkEnd w:id="32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4" w:right="1450" w:hanging="3"/>
        <w:spacing w:before="13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古县卫生健康体育综合行政执法队为全额财政拨款事业单位,内设机构5个，执法一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队（医疗卫生、传染病防治）、执法二队（公共场所卫生、学校卫生、体育）、执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法三队（职业卫生）、办公室及财务室。</w:t>
      </w:r>
    </w:p>
    <w:p>
      <w:pPr>
        <w:spacing w:line="309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0" w:id="33"/>
      <w:bookmarkEnd w:id="33"/>
      <w:bookmarkStart w:name="bookmark5" w:id="34"/>
      <w:bookmarkEnd w:id="34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5"/>
            <w:bookmarkEnd w:id="35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部门名称：古县卫生健康体育综合行政执法队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144.36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16.35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117.79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10.22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1" w:id="36"/>
            <w:bookmarkEnd w:id="36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32" w:id="37"/>
            <w:bookmarkEnd w:id="37"/>
            <w:bookmarkStart w:name="bookmark7" w:id="38"/>
            <w:bookmarkEnd w:id="38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部门名称：古县卫生健康体育综合行政执法队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46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3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9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10.47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10.47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0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2100402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卫生监督机构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基本公共卫生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8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9"/>
            <w:bookmarkEnd w:id="39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5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4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部门名称：古县卫生健康体育综合行政执法队</w:t>
            </w:r>
          </w:p>
        </w:tc>
        <w:tc>
          <w:tcPr>
            <w:tcW w:w="25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6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0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65"/>
              <w:spacing w:before="6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776" w:type="dxa"/>
            <w:vAlign w:val="top"/>
            <w:gridSpan w:val="2"/>
          </w:tcPr>
          <w:p>
            <w:pPr>
              <w:ind w:left="1185"/>
              <w:spacing w:before="63" w:line="16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02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02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3"/>
              <w:spacing w:before="202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02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38" w:hanging="270"/>
              <w:spacing w:before="1" w:line="208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3"/>
              <w:spacing w:line="201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38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1"/>
              <w:spacing w:before="3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ind w:left="593"/>
              <w:spacing w:before="7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87"/>
              <w:spacing w:before="6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6"/>
              <w:spacing w:before="6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7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7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ind w:left="419"/>
              <w:spacing w:before="6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2"/>
              <w:spacing w:before="3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125.82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63" w:line="184" w:lineRule="auto"/>
              <w:rPr/>
            </w:pPr>
            <w:r>
              <w:rPr>
                <w:color w:val="212529"/>
                <w:spacing w:val="-5"/>
              </w:rPr>
              <w:t>18.54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10.47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10.47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 w:right="14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42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6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69" w:line="184" w:lineRule="auto"/>
              <w:rPr/>
            </w:pPr>
            <w:r>
              <w:rPr>
                <w:color w:val="212529"/>
                <w:spacing w:val="-5"/>
              </w:rPr>
              <w:t>18.54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0"/>
              <w:spacing w:before="42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6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69" w:line="184" w:lineRule="auto"/>
              <w:rPr/>
            </w:pPr>
            <w:r>
              <w:rPr>
                <w:color w:val="212529"/>
                <w:spacing w:val="-5"/>
              </w:rPr>
              <w:t>18.54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2"/>
              </w:rPr>
              <w:t>2100402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卫生监督机构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6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2"/>
              <w:spacing w:before="6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 w:right="148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基本公共卫生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2.90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4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3"/>
          <w:footerReference w:type="default" r:id="rId11"/>
          <w:pgSz w:w="11900" w:h="16840"/>
          <w:pgMar w:top="610" w:right="86" w:bottom="311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3" w:id="40"/>
            <w:bookmarkEnd w:id="40"/>
            <w:bookmarkStart w:name="bookmark9" w:id="41"/>
            <w:bookmarkEnd w:id="41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部门名称：古县卫生健康体育综合行政执法队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4" w:id="42"/>
            <w:bookmarkEnd w:id="42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6"/>
        <w:gridCol w:w="2674"/>
        <w:gridCol w:w="1606"/>
        <w:gridCol w:w="1463"/>
        <w:gridCol w:w="145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3"/>
            <w:bookmarkEnd w:id="43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9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部门名称：古县卫生健康体育综合行政执法队</w:t>
            </w:r>
          </w:p>
        </w:tc>
        <w:tc>
          <w:tcPr>
            <w:tcW w:w="160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09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42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90" w:type="dxa"/>
            <w:vAlign w:val="top"/>
            <w:gridSpan w:val="2"/>
          </w:tcPr>
          <w:p>
            <w:pPr>
              <w:ind w:left="204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26" w:type="dxa"/>
            <w:vAlign w:val="top"/>
            <w:gridSpan w:val="3"/>
          </w:tcPr>
          <w:p>
            <w:pPr>
              <w:ind w:left="188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ind w:left="525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ind w:left="953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ind w:left="603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ind w:left="35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ind w:left="34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90" w:type="dxa"/>
            <w:vAlign w:val="top"/>
            <w:gridSpan w:val="2"/>
          </w:tcPr>
          <w:p>
            <w:pPr>
              <w:ind w:left="20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753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73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66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90" w:type="dxa"/>
            <w:vAlign w:val="top"/>
            <w:gridSpan w:val="2"/>
          </w:tcPr>
          <w:p>
            <w:pPr>
              <w:pStyle w:val="TableText"/>
              <w:ind w:left="205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144.36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125.82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77" w:line="184" w:lineRule="auto"/>
              <w:rPr/>
            </w:pPr>
            <w:r>
              <w:rPr>
                <w:color w:val="212529"/>
                <w:spacing w:val="-5"/>
              </w:rPr>
              <w:t>18.54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77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77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16.35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4.10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 w:right="14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10.47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10.47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1.78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18.54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11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117.79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3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18.54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2100402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卫生监督机构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3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8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基本公共卫生服务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2.90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10.22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9"/>
          <w:footerReference w:type="default" r:id="rId15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5" w:id="44"/>
            <w:bookmarkEnd w:id="44"/>
            <w:bookmarkStart w:name="bookmark11" w:id="45"/>
            <w:bookmarkEnd w:id="45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25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部门名称：古县卫生健康体育综合行政执法队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93" w:type="dxa"/>
            <w:vAlign w:val="top"/>
            <w:gridSpan w:val="3"/>
          </w:tcPr>
          <w:p>
            <w:pPr>
              <w:ind w:left="1415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73" w:type="dxa"/>
            <w:vAlign w:val="top"/>
            <w:gridSpan w:val="9"/>
          </w:tcPr>
          <w:p>
            <w:pPr>
              <w:ind w:left="4803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8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7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0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1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112.48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41.61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8.52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32.96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3" w:right="103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0" w:right="52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6"/>
          <w:footerReference w:type="default" r:id="rId17"/>
          <w:pgSz w:w="16840" w:h="1190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8" w:right="8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2" w:right="8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69" w:type="dxa"/>
            <w:vAlign w:val="top"/>
            <w:gridSpan w:val="2"/>
          </w:tcPr>
          <w:p>
            <w:pPr>
              <w:pStyle w:val="TableText"/>
              <w:ind w:left="88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116.58</w:t>
            </w:r>
          </w:p>
        </w:tc>
        <w:tc>
          <w:tcPr>
            <w:tcW w:w="9287" w:type="dxa"/>
            <w:vAlign w:val="top"/>
            <w:gridSpan w:val="8"/>
          </w:tcPr>
          <w:p>
            <w:pPr>
              <w:pStyle w:val="TableText"/>
              <w:ind w:left="419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9.24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6" w:id="46"/>
            <w:bookmarkEnd w:id="46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8"/>
          <w:footerReference w:type="default" r:id="rId19"/>
          <w:pgSz w:w="16840" w:h="1190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7"/>
            <w:bookmarkEnd w:id="47"/>
            <w:bookmarkStart w:name="bookmark12" w:id="48"/>
            <w:bookmarkEnd w:id="48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部门名称：古县卫生健康体育综合行政执法队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0"/>
          <w:footerReference w:type="default" r:id="rId21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8" w:id="49"/>
            <w:bookmarkEnd w:id="49"/>
            <w:bookmarkStart w:name="bookmark13" w:id="50"/>
            <w:bookmarkEnd w:id="50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部门名称：古县卫生健康体育综合行政执法队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3"/>
          <w:footerReference w:type="default" r:id="rId22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1"/>
            <w:bookmarkEnd w:id="51"/>
            <w:bookmarkStart w:name="bookmark14" w:id="52"/>
            <w:bookmarkEnd w:id="52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 w:right="79" w:firstLine="1"/>
              <w:spacing w:before="43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部门名称：古县卫生健康体育综合行政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1"/>
              </w:rPr>
              <w:t>执法队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80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11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441"/>
        <w:spacing w:before="1" w:line="209" w:lineRule="auto"/>
        <w:rPr>
          <w:sz w:val="18"/>
          <w:szCs w:val="18"/>
        </w:rPr>
      </w:pPr>
      <w:r>
        <w:pict>
          <v:shape id="_x0000_s172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4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76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78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14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3"/>
          <w:footerReference w:type="default" r:id="rId24"/>
          <w:pgSz w:w="16840" w:h="1190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40" w:id="53"/>
            <w:bookmarkEnd w:id="53"/>
            <w:bookmarkStart w:name="bookmark15" w:id="54"/>
            <w:bookmarkEnd w:id="54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单位名称：古县卫生健康体育综合行政执法队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22"/>
              <w:spacing w:before="93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5"/>
          <w:footerReference w:type="default" r:id="rId26"/>
          <w:pgSz w:w="11900" w:h="16840"/>
          <w:pgMar w:top="610" w:right="86" w:bottom="312" w:left="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1" w:id="55"/>
      <w:bookmarkEnd w:id="55"/>
      <w:bookmarkStart w:name="bookmark16" w:id="56"/>
      <w:bookmarkEnd w:id="56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7"/>
      <w:bookmarkEnd w:id="57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31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2023年度收入总计144.36万元，支出总计144.36万元。与上年相比，收入总计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增加9.48万元，增长7.03%，支出总计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增加9.48万元，增长7.03%。主要原因是本年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度增加在职人员残保金、在职人员普调、工会费和福利费增加等。</w:t>
      </w:r>
    </w:p>
    <w:p>
      <w:pPr>
        <w:ind w:left="1802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8"/>
      <w:bookmarkEnd w:id="58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2023年度收入合计144.36万元，其中：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财政拨款收入144.36万元，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9"/>
      <w:bookmarkEnd w:id="59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2023年度支出合计144.36万元，其中：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基本支出125.82万元，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占比87.16%；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项目支出18.54万元，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占比12.84%；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60"/>
      <w:bookmarkEnd w:id="60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2023年度财政拨款收入总计144.36万元，支出总计144.36万元。与上年相比，</w:t>
      </w:r>
    </w:p>
    <w:p>
      <w:pPr>
        <w:ind w:left="1306" w:right="1318" w:firstLine="3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财政拨款收入总计增加9.48万元，增长7.03%；财政拨款支出总计增加9.48万元，增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长7.03%。主要原因是本年度增加在职人员残</w:t>
      </w:r>
      <w:r>
        <w:rPr>
          <w:rFonts w:ascii="FangSong" w:hAnsi="FangSong" w:eastAsia="FangSong" w:cs="FangSong"/>
          <w:sz w:val="25"/>
          <w:szCs w:val="25"/>
          <w:spacing w:val="1"/>
        </w:rPr>
        <w:t>保金、在职人员普调、工会费和福利费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增加等。</w:t>
      </w:r>
    </w:p>
    <w:p>
      <w:pPr>
        <w:ind w:left="1804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2023年一般公共预算财政拨款决算支出144.</w:t>
      </w:r>
      <w:r>
        <w:rPr>
          <w:rFonts w:ascii="FangSong" w:hAnsi="FangSong" w:eastAsia="FangSong" w:cs="FangSong"/>
          <w:sz w:val="25"/>
          <w:szCs w:val="25"/>
          <w:spacing w:val="-1"/>
        </w:rPr>
        <w:t>36万元，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438" w:firstLine="5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100.00%。与上年相比，一般公共预算财政拨款支出增加9.48万元，增长7.03%。主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要原因是本年度增加在职人员残保金、在职人员普调、工会费和福利费增加等。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2023年度一般公共预算财政拨款支出144.36万元，主要用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社会保障和就业支出(类)16.35万元，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11.33%；</w:t>
      </w:r>
    </w:p>
    <w:p>
      <w:pPr>
        <w:spacing w:line="303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810" w:right="5033" w:firstLine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卫生健康支出(类)117.79万元，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占比81.60%；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住房保障支出(类)10.22万元，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占比7.08%。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2023年度一般公共预算财政拨款支出年初预算139.34万元，支出决算144.36万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元，完成年初预算的103.60%。其中：</w:t>
      </w:r>
    </w:p>
    <w:p>
      <w:pPr>
        <w:ind w:left="1311" w:right="1324" w:firstLine="499"/>
        <w:spacing w:before="43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社会保障和就业支出年初预算17.13万元，支出决算16.35万元，完成年初预算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的95%，用于退休人员补充医疗、基本养老保险等资金，较2022年决算减少6%，主要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原因是退休人员1人死亡，相应经费减少。</w:t>
      </w:r>
    </w:p>
    <w:p>
      <w:pPr>
        <w:ind w:left="1815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卫生健康支出年初预算112.82万元，支出决算117.79万元，完成年初预算的</w:t>
      </w:r>
    </w:p>
    <w:p>
      <w:pPr>
        <w:ind w:left="1306" w:right="1450" w:firstLine="10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104%，用于人员经费、</w:t>
      </w:r>
      <w:r>
        <w:rPr>
          <w:rFonts w:ascii="FangSong" w:hAnsi="FangSong" w:eastAsia="FangSong" w:cs="FangSong"/>
          <w:sz w:val="25"/>
          <w:szCs w:val="25"/>
          <w:spacing w:val="-4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日常公用经费、卫生专项执法项目等资金，较2022年决算减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少3%，主要原因是基本公共卫生监督协管项目减少、相应经费减少。</w:t>
      </w:r>
    </w:p>
    <w:p>
      <w:pPr>
        <w:ind w:left="1306" w:right="1376" w:firstLine="504"/>
        <w:spacing w:before="4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住房保障支出年初预算9.39万元，支出决算10.22万元，完成年初预算的109%，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用于单位在职人员住房公积金，较2022年决算减少9%，主要原因是公积金基数调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 </w:t>
      </w:r>
      <w:r>
        <w:rPr>
          <w:rFonts w:ascii="FangSong" w:hAnsi="FangSong" w:eastAsia="FangSong" w:cs="FangSong"/>
          <w:sz w:val="25"/>
          <w:szCs w:val="25"/>
        </w:rPr>
        <w:t>整，相应住房保障经费减少</w:t>
      </w:r>
    </w:p>
    <w:p>
      <w:pPr>
        <w:ind w:left="1805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2023年度财政拨款基本支出125.82万元，其中：</w:t>
      </w:r>
    </w:p>
    <w:p>
      <w:pPr>
        <w:ind w:left="1310" w:right="1490" w:firstLine="504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人员经费116.58万元，主要包括基本工资、津贴补贴、奖金、社会保障缴费、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绩效工资、退休费、住房公积金；</w:t>
      </w:r>
    </w:p>
    <w:p>
      <w:pPr>
        <w:ind w:left="1343" w:right="1450" w:firstLine="472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公用经费9.24万元，主要包括办公费、印刷费、电费、邮电费、差旅费、维修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(护)费、劳务费、工会经费、福利费、公务用车运行维</w:t>
      </w:r>
      <w:r>
        <w:rPr>
          <w:rFonts w:ascii="FangSong" w:hAnsi="FangSong" w:eastAsia="FangSong" w:cs="FangSong"/>
          <w:sz w:val="25"/>
          <w:szCs w:val="25"/>
          <w:spacing w:val="-1"/>
        </w:rPr>
        <w:t>护费。</w:t>
      </w:r>
    </w:p>
    <w:p>
      <w:pPr>
        <w:ind w:left="1797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”经费财政拨款支出全年预算1.94万元，支出</w:t>
      </w:r>
      <w:r>
        <w:rPr>
          <w:rFonts w:ascii="FangSong" w:hAnsi="FangSong" w:eastAsia="FangSong" w:cs="FangSong"/>
          <w:sz w:val="25"/>
          <w:szCs w:val="25"/>
        </w:rPr>
        <w:t>决算1.94万元，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比上年度增加0.06万元，增长3.19%，主要原因是：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由于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车辆年代长久、零件老化，维修次数增多其中：</w:t>
      </w:r>
    </w:p>
    <w:p>
      <w:pPr>
        <w:ind w:left="1307" w:right="1823" w:firstLine="528"/>
        <w:spacing w:before="4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单位无公务用车购置支出；</w:t>
      </w:r>
    </w:p>
    <w:p>
      <w:pPr>
        <w:ind w:left="1816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公务用车运行维护费支出1.94万元，完成全年预算的100.00%，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</w:p>
    <w:p>
      <w:pPr>
        <w:spacing w:line="221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1321" w:right="1570" w:hanging="20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0.06万元，增长3.19%，主要原因是：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由于车辆年代长久、零件老化，维修次数增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bookmarkStart w:name="bookmark42" w:id="66"/>
      <w:bookmarkEnd w:id="66"/>
      <w:r>
        <w:rPr>
          <w:rFonts w:ascii="FangSong" w:hAnsi="FangSong" w:eastAsia="FangSong" w:cs="FangSong"/>
          <w:sz w:val="25"/>
          <w:szCs w:val="25"/>
          <w:spacing w:val="-16"/>
        </w:rPr>
        <w:t>多；</w:t>
      </w:r>
    </w:p>
    <w:p>
      <w:pPr>
        <w:ind w:left="1309" w:right="1318" w:firstLine="506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”经费财政拨款支出全年预算1.94万元，支出</w:t>
      </w:r>
      <w:r>
        <w:rPr>
          <w:rFonts w:ascii="FangSong" w:hAnsi="FangSong" w:eastAsia="FangSong" w:cs="FangSong"/>
          <w:sz w:val="25"/>
          <w:szCs w:val="25"/>
        </w:rPr>
        <w:t>决算1.94万元，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比上年度增加0.06万元，增长3.19%，主要原因是：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由于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车辆年代长久、零件老化，维修次数增多其中：</w:t>
      </w:r>
    </w:p>
    <w:p>
      <w:pPr>
        <w:ind w:left="1307" w:right="1823" w:firstLine="528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单位无公务用车购置支出；</w:t>
      </w:r>
    </w:p>
    <w:p>
      <w:pPr>
        <w:ind w:left="1301" w:right="1570" w:firstLine="514"/>
        <w:spacing w:before="45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公务用车运行维护费支出1.94万元，完成全年预算的100.00%，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0.06万元，增长3.19%，主要原因是：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由于车辆年代长久、零件老化，维修次数增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多；</w:t>
      </w:r>
    </w:p>
    <w:p>
      <w:pPr>
        <w:ind w:left="1309" w:right="1318" w:firstLine="50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01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2辆。其中：副部（省）级及以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执勤用车0辆、特种专业技术用车0辆、离退休干部服务用车0辆，其他用车2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他用车主要是我单位日常执法监督检查；单价100万元（含）以上设备（不含车</w:t>
      </w:r>
    </w:p>
    <w:p>
      <w:pPr>
        <w:ind w:left="1306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辆）0台（套）。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1315" w:right="2333" w:hanging="13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2023年二级项目绩效自评个数6个，涉及资金21.13万元：6个项目自评等级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bookmarkStart w:name="bookmark43" w:id="69"/>
      <w:bookmarkEnd w:id="69"/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317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307" w:right="7248" w:firstLine="498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本单位无其他需要说明的事项</w:t>
      </w:r>
    </w:p>
    <w:p>
      <w:pPr>
        <w:spacing w:line="303" w:lineRule="auto"/>
        <w:sectPr>
          <w:headerReference w:type="default" r:id="rId7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70"/>
      <w:bookmarkEnd w:id="70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07" w:right="7500" w:firstLine="6"/>
        <w:spacing w:before="16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十三、基本公共卫生服务：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反映基本公共卫生服务支出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十四、社会保障就业支出：</w:t>
      </w:r>
    </w:p>
    <w:p>
      <w:pPr>
        <w:ind w:left="1307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反映政府在社会保障与就业方面的支出</w:t>
      </w:r>
    </w:p>
    <w:p>
      <w:pPr>
        <w:spacing w:line="221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14" w:lineRule="auto"/>
        <w:rPr>
          <w:rFonts w:ascii="Arial"/>
          <w:sz w:val="21"/>
        </w:rPr>
      </w:pPr>
      <w:r/>
    </w:p>
    <w:p>
      <w:pPr>
        <w:ind w:left="1313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十五、卫生健康支出：</w:t>
      </w:r>
    </w:p>
    <w:p>
      <w:pPr>
        <w:ind w:left="1307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反映政府卫生健康方面的支出</w:t>
      </w:r>
    </w:p>
    <w:p>
      <w:pPr>
        <w:ind w:left="1313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十六、住房保障支出：</w:t>
      </w:r>
    </w:p>
    <w:p>
      <w:pPr>
        <w:ind w:left="1307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集中反映政府用于住房方面的支出</w:t>
      </w:r>
    </w:p>
    <w:p>
      <w:pPr>
        <w:ind w:left="5129"/>
        <w:spacing w:before="166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71"/>
      <w:bookmarkEnd w:id="71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>
        <w:pict>
          <v:shape id="_x0000_s264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6" style="position:absolute;margin-left:86.92pt;margin-top:44.1055pt;mso-position-vertical-relative:page;mso-position-horizontal-relative:page;width:119.4pt;height:18.85pt;z-index:25169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68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391.92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493.28pt;margin-top:483.186pt;mso-position-vertical-relative:text;mso-position-horizontal-relative:text;width:99.4pt;height:18.7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4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>
        <w:pict>
          <v:shape id="_x0000_s276" style="position:absolute;margin-left:86.92pt;margin-top:44.1055pt;mso-position-vertical-relative:page;mso-position-horizontal-relative:page;width:119.4pt;height:18.8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8" style="position:absolute;margin-left:493.28pt;margin-top:49.1801pt;mso-position-vertical-relative:page;mso-position-horizontal-relative:page;width:99.4pt;height:18.7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0" style="position:absolute;margin-left:391.92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-13.08pt;margin-top:234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86.92pt;margin-top:478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>
        <w:pict>
          <v:shape id="_x0000_s288" style="position:absolute;margin-left:86.92pt;margin-top:44.1055pt;mso-position-vertical-relative:page;mso-position-horizontal-relative:page;width:119.4pt;height:18.8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2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4" style="position:absolute;margin-left:86.92pt;margin-top:478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8" style="position:absolute;margin-left:391.92pt;margin-top:234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>
        <w:pict>
          <v:shape id="_x0000_s300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493.28pt;margin-top:49.1801pt;mso-position-vertical-relative:page;mso-position-horizontal-relative:page;width:99.4pt;height:18.7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83.186pt;mso-position-vertical-relative:text;mso-position-horizontal-relative:text;width:99.4pt;height:18.7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0" style="position:absolute;margin-left:86.92pt;margin-top:478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>
        <w:pict>
          <v:shape id="_x0000_s312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493.28pt;margin-top:49.1801pt;mso-position-vertical-relative:page;mso-position-horizontal-relative:page;width:99.4pt;height:18.7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6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86.92pt;margin-top:478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>
        <w:pict>
          <v:shape id="_x0000_s324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9.1801pt;mso-position-vertical-relative:page;mso-position-horizontal-relative:page;width:99.4pt;height:18.75pt;z-index:251726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8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4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48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8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8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8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-13.08pt;margin-top:776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114" style="position:absolute;margin-left:-13.08pt;margin-top:27.2223pt;mso-position-vertical-relative:text;mso-position-horizontal-relative:text;width:119.4pt;height:18.85pt;z-index:2517278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312.92pt;margin-top:45.1055pt;mso-position-vertical-relative:page;mso-position-horizontal-relative:page;width:119.4pt;height:18.8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86.92pt;margin-top:287.106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0" style="position:absolute;margin-left:638.92pt;margin-top:45.1055pt;mso-position-vertical-relative:page;mso-position-horizontal-relative:page;width:119.4pt;height:18.85pt;z-index:251726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-45.0434pt;margin-top:406.395pt;mso-position-vertical-relative:page;mso-position-horizontal-relative:page;width:609.35pt;height:22.2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24" style="position:absolute;margin-left:282.314pt;margin-top:411.399pt;mso-position-vertical-relative:page;mso-position-horizontal-relative:page;width:589.35pt;height:22.2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26" style="position:absolute;margin-left:638.92pt;margin-top:529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128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0" style="position:absolute;margin-left:312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86.92pt;margin-top:287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638.92pt;margin-top:45.1055pt;mso-position-vertical-relative:page;mso-position-horizontal-relative:page;width:119.4pt;height:18.85pt;z-index:251735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-45.0434pt;margin-top:406.395pt;mso-position-vertical-relative:page;mso-position-horizontal-relative:page;width:60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38" style="position:absolute;margin-left:282.314pt;margin-top:411.399pt;mso-position-vertical-relative:page;mso-position-horizontal-relative:page;width:58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0" style="position:absolute;margin-left:638.92pt;margin-top:529.106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142" style="position:absolute;margin-left:86.92pt;margin-top:26.2223pt;mso-position-vertical-relative:text;mso-position-horizontal-relative:text;width:119.4pt;height:18.85pt;z-index:2517422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4" style="position:absolute;margin-left:-13.08pt;margin-top:288.105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493.28pt;margin-top:49.1801pt;mso-position-vertical-relative:page;mso-position-horizontal-relative:page;width:99.4pt;height:18.75pt;z-index:251743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8" style="position:absolute;margin-left:391.92pt;margin-top:288.105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532.106pt;mso-position-vertical-relative:page;mso-position-horizontal-relative:page;width:119.4pt;height:18.8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13.08pt;margin-top:776.106pt;mso-position-vertical-relative:page;mso-position-horizontal-relative:page;width:119.4pt;height:18.8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493.28pt;margin-top:537.18pt;mso-position-vertical-relative:page;mso-position-horizontal-relative:page;width:99.4pt;height:18.7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6" style="position:absolute;margin-left:391.92pt;margin-top:776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158" style="position:absolute;margin-left:-13.08pt;margin-top:27.2223pt;mso-position-vertical-relative:text;mso-position-horizontal-relative:text;width:119.4pt;height:18.85pt;z-index:2517544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312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86.92pt;margin-top:287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638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-45.0434pt;margin-top:406.395pt;mso-position-vertical-relative:page;mso-position-horizontal-relative:page;width:609.35pt;height:22.2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68" style="position:absolute;margin-left:282.314pt;margin-top:411.399pt;mso-position-vertical-relative:page;mso-position-horizontal-relative:page;width:58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0" style="position:absolute;margin-left:638.92pt;margin-top:529.106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180" style="position:absolute;margin-left:86.92pt;margin-top:26.2223pt;mso-position-vertical-relative:text;mso-position-horizontal-relative:text;width:119.4pt;height:18.85pt;z-index:2517626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13.08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6" style="position:absolute;margin-left:391.92pt;margin-top:288.105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86.92pt;margin-top:532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-13.08pt;margin-top:776.106pt;mso-position-vertical-relative:page;mso-position-horizontal-relative:page;width:119.4pt;height:18.8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493.28pt;margin-top:537.18pt;mso-position-vertical-relative:page;mso-position-horizontal-relative:page;width:99.4pt;height:18.7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4" style="position:absolute;margin-left:391.92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009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11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03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16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50"/>
      <w:spacing w:before="1" w:line="210" w:lineRule="exact"/>
      <w:rPr>
        <w:sz w:val="16"/>
        <w:szCs w:val="16"/>
      </w:rPr>
    </w:pPr>
    <w:r>
      <w:pict>
        <v:shape id="PowerPlusWaterMarkObject260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sz w:val="16"/>
        <w:szCs w:val="16"/>
        <w:spacing w:val="-1"/>
        <w:position w:val="1"/>
      </w:rPr>
      <w:t>古县卫生健康体育综合行政执法队2023年单</w:t>
    </w:r>
    <w:r>
      <w:rPr>
        <w:sz w:val="16"/>
        <w:szCs w:val="16"/>
        <w:spacing w:val="-2"/>
        <w:position w:val="1"/>
      </w:rPr>
      <w:t>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footer" Target="footer3.xml"/><Relationship Id="rId7" Type="http://schemas.openxmlformats.org/officeDocument/2006/relationships/header" Target="header5.xml"/><Relationship Id="rId6" Type="http://schemas.openxmlformats.org/officeDocument/2006/relationships/footer" Target="footer2.xml"/><Relationship Id="rId52" Type="http://schemas.openxmlformats.org/officeDocument/2006/relationships/fontTable" Target="fontTable.xml"/><Relationship Id="rId51" Type="http://schemas.openxmlformats.org/officeDocument/2006/relationships/styles" Target="styles.xml"/><Relationship Id="rId50" Type="http://schemas.openxmlformats.org/officeDocument/2006/relationships/settings" Target="settings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header" Target="header16.xml"/><Relationship Id="rId33" Type="http://schemas.openxmlformats.org/officeDocument/2006/relationships/footer" Target="footer18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header" Target="header12.xml"/><Relationship Id="rId24" Type="http://schemas.openxmlformats.org/officeDocument/2006/relationships/footer" Target="footer13.xml"/><Relationship Id="rId23" Type="http://schemas.openxmlformats.org/officeDocument/2006/relationships/header" Target="header11.xml"/><Relationship Id="rId22" Type="http://schemas.openxmlformats.org/officeDocument/2006/relationships/footer" Target="footer12.xml"/><Relationship Id="rId21" Type="http://schemas.openxmlformats.org/officeDocument/2006/relationships/footer" Target="footer11.xml"/><Relationship Id="rId20" Type="http://schemas.openxmlformats.org/officeDocument/2006/relationships/header" Target="header10.xml"/><Relationship Id="rId2" Type="http://schemas.openxmlformats.org/officeDocument/2006/relationships/header" Target="header2.xml"/><Relationship Id="rId19" Type="http://schemas.openxmlformats.org/officeDocument/2006/relationships/footer" Target="footer10.xml"/><Relationship Id="rId18" Type="http://schemas.openxmlformats.org/officeDocument/2006/relationships/header" Target="header9.xml"/><Relationship Id="rId17" Type="http://schemas.openxmlformats.org/officeDocument/2006/relationships/footer" Target="footer9.xml"/><Relationship Id="rId16" Type="http://schemas.openxmlformats.org/officeDocument/2006/relationships/header" Target="header8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2024-09-20T09:44:24Z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2024-09-20T10:42:55</vt:filetime>
  </property>
</Properties>
</file>