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1721"/>
        <w:spacing w:before="110" w:line="220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9"/>
        </w:rPr>
        <w:t>古 县 园 林 事 业 发 展 中 心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8" w:lineRule="auto"/>
        <w:rPr/>
      </w:pPr>
      <w:r/>
    </w:p>
    <w:p>
      <w:pPr>
        <w:ind w:left="1491"/>
        <w:spacing w:before="111" w:line="217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1"/>
        </w:rPr>
        <w:t>2 0 2 3</w:t>
      </w:r>
      <w:r>
        <w:rPr>
          <w:rFonts w:ascii="SimSun" w:hAnsi="SimSun" w:eastAsia="SimSun" w:cs="SimSun"/>
          <w:sz w:val="34"/>
          <w:szCs w:val="34"/>
          <w:spacing w:val="-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年 度</w:t>
      </w:r>
      <w:r>
        <w:rPr>
          <w:rFonts w:ascii="SimSun" w:hAnsi="SimSun" w:eastAsia="SimSun" w:cs="SimSun"/>
          <w:sz w:val="34"/>
          <w:szCs w:val="34"/>
          <w:spacing w:val="-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单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位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决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811" w:firstLine="403"/>
        <w:spacing w:before="276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围绕绿化、美化城市，创建优美古县，宣传贯彻国家、省、市</w:t>
      </w:r>
      <w:r>
        <w:rPr>
          <w:rFonts w:ascii="FangSong" w:hAnsi="FangSong" w:eastAsia="FangSong" w:cs="FangSong"/>
          <w:sz w:val="25"/>
          <w:szCs w:val="25"/>
        </w:rPr>
        <w:t>有关城市园林绿化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建设工作的方针、政策和法律法规；研究制定全县城市园林绿化建设管理办法；负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责城市规划区内绿化规划、公园和城市行道树、绿化带及公共绿地、游园等管理、</w:t>
      </w:r>
    </w:p>
    <w:p>
      <w:pPr>
        <w:ind w:left="706" w:right="937" w:firstLine="5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城市规划区和风景名胜区内的古树名木等保护管理工作，负责园林工程市场管理和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施工企业资质管理、城市社会绿化督促指导等。</w:t>
      </w:r>
    </w:p>
    <w:p>
      <w:pPr>
        <w:ind w:left="1208"/>
        <w:spacing w:before="186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09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根据主要职责，古县园林事业发展中心下设2个股室，分别是办公室、业务股。</w:t>
      </w:r>
    </w:p>
    <w:p>
      <w:pPr>
        <w:spacing w:line="222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部门名称：古县园林事业发展中心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7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712.26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3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71.33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68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617.45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1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23.48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部门名称：古县园林事业发展中心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6"/>
              <w:spacing w:before="122" w:line="184" w:lineRule="auto"/>
              <w:rPr/>
            </w:pPr>
            <w:r>
              <w:rPr>
                <w:color w:val="212529"/>
                <w:spacing w:val="-3"/>
              </w:rPr>
              <w:t>71.33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122" w:line="184" w:lineRule="auto"/>
              <w:rPr/>
            </w:pPr>
            <w:r>
              <w:rPr>
                <w:color w:val="212529"/>
                <w:spacing w:val="-3"/>
              </w:rPr>
              <w:t>71.33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49.35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49.35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23.65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23.65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25.71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25.71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/>
              <w:spacing w:before="6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617.45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617.45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城乡社区管理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289.45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289.45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2120199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8" w:right="28" w:hanging="3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其他城乡社区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管理事务支出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289.45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289.45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21205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hanging="1"/>
              <w:spacing w:before="7" w:line="201" w:lineRule="auto"/>
              <w:rPr/>
            </w:pPr>
            <w:r>
              <w:rPr>
                <w:color w:val="212529"/>
                <w:spacing w:val="-2"/>
              </w:rPr>
              <w:t>城乡社区环境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卫生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2120501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hanging="1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城乡社区环境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卫生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90" w:hRule="atLeast"/>
        </w:trPr>
        <w:tc>
          <w:tcPr>
            <w:tcW w:w="152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64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03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3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部门名称：古县园林事业发展中心</w:t>
            </w:r>
          </w:p>
        </w:tc>
        <w:tc>
          <w:tcPr>
            <w:tcW w:w="25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41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90" w:hRule="atLeast"/>
        </w:trPr>
        <w:tc>
          <w:tcPr>
            <w:tcW w:w="2752" w:type="dxa"/>
            <w:vAlign w:val="top"/>
            <w:gridSpan w:val="2"/>
          </w:tcPr>
          <w:p>
            <w:pPr>
              <w:ind w:left="1173"/>
              <w:spacing w:before="62" w:line="16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0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01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" w:line="206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line="208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03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38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3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79"/>
              <w:spacing w:before="34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67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ind w:left="582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70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80"/>
              <w:spacing w:before="3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328.78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383.48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121" w:line="184" w:lineRule="auto"/>
              <w:rPr/>
            </w:pPr>
            <w:r>
              <w:rPr>
                <w:color w:val="212529"/>
                <w:spacing w:val="-3"/>
              </w:rPr>
              <w:t>71.33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3"/>
              <w:spacing w:before="121" w:line="184" w:lineRule="auto"/>
              <w:rPr/>
            </w:pPr>
            <w:r>
              <w:rPr>
                <w:color w:val="212529"/>
                <w:spacing w:val="-3"/>
              </w:rPr>
              <w:t>71.33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49.35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49.35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23.65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23.65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232" w:line="184" w:lineRule="auto"/>
              <w:rPr/>
            </w:pPr>
            <w:r>
              <w:rPr>
                <w:color w:val="212529"/>
                <w:spacing w:val="-2"/>
              </w:rPr>
              <w:t>25.71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232" w:line="184" w:lineRule="auto"/>
              <w:rPr/>
            </w:pPr>
            <w:r>
              <w:rPr>
                <w:color w:val="212529"/>
                <w:spacing w:val="-2"/>
              </w:rPr>
              <w:t>25.71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67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38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66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66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66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38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66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66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66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39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617.45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6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233.97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6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383.48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城乡社区管理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289.45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233.97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4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55.48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2120199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8" w:right="136" w:hanging="3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其他城乡社区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管理事务支出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289.45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233.97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4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55.48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21205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hanging="1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城乡社区环境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卫生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2120501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hanging="1"/>
              <w:spacing w:before="7" w:line="201" w:lineRule="auto"/>
              <w:rPr/>
            </w:pPr>
            <w:r>
              <w:rPr>
                <w:color w:val="212529"/>
                <w:spacing w:val="-2"/>
              </w:rPr>
              <w:t>城乡社区环境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卫生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71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71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71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71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4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71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71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54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部门名称：古县园林事业发展中心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1"/>
              <w:spacing w:before="137" w:line="184" w:lineRule="auto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7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71.33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6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71.33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617.45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617.45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1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1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04"/>
        <w:gridCol w:w="2650"/>
        <w:gridCol w:w="1594"/>
        <w:gridCol w:w="1451"/>
        <w:gridCol w:w="1517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91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部门名称：古县园林事业发展中心</w:t>
            </w:r>
          </w:p>
        </w:tc>
        <w:tc>
          <w:tcPr>
            <w:tcW w:w="159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3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5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454" w:type="dxa"/>
            <w:vAlign w:val="top"/>
            <w:gridSpan w:val="2"/>
          </w:tcPr>
          <w:p>
            <w:pPr>
              <w:ind w:left="2025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62" w:type="dxa"/>
            <w:vAlign w:val="top"/>
            <w:gridSpan w:val="3"/>
          </w:tcPr>
          <w:p>
            <w:pPr>
              <w:ind w:left="1899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ind w:left="519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ind w:left="941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ind w:left="597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ind w:left="350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ind w:left="378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454" w:type="dxa"/>
            <w:vAlign w:val="top"/>
            <w:gridSpan w:val="2"/>
          </w:tcPr>
          <w:p>
            <w:pPr>
              <w:ind w:left="2023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747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7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9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454" w:type="dxa"/>
            <w:vAlign w:val="top"/>
            <w:gridSpan w:val="2"/>
          </w:tcPr>
          <w:p>
            <w:pPr>
              <w:pStyle w:val="TableText"/>
              <w:ind w:left="2032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712.26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328.78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383.48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77" w:line="184" w:lineRule="auto"/>
              <w:rPr/>
            </w:pPr>
            <w:r>
              <w:rPr>
                <w:color w:val="212529"/>
                <w:spacing w:val="-3"/>
              </w:rPr>
              <w:t>71.33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5"/>
              <w:spacing w:before="77" w:line="184" w:lineRule="auto"/>
              <w:rPr/>
            </w:pPr>
            <w:r>
              <w:rPr>
                <w:color w:val="212529"/>
                <w:spacing w:val="-3"/>
              </w:rPr>
              <w:t>71.33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49.35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49.35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23.65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23.65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 w:right="12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25.71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25.71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21.98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617.45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233.97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383.48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城乡社区管理事务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289.45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233.97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55.48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2120199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4" w:line="219" w:lineRule="auto"/>
              <w:rPr/>
            </w:pPr>
            <w:r>
              <w:rPr>
                <w:color w:val="212529"/>
                <w:spacing w:val="-1"/>
              </w:rPr>
              <w:t>其他城乡社区管理事务支出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289.45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233.97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55.48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21205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城乡社区环境卫生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2120501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城乡社区环境卫生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328.00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23.48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部门名称：古县园林事业发展中心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265.03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18.13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97.51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2.79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17.39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85.89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10.73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4.33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45.63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23.65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21.98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2.72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3.07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310.65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18.13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部门名称：古县园林事业发展中心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部门名称：古县园林事业发展中心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部门名称：古县园林事业发展中心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单位名称：古县园林事业发展中心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70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6" w:right="937" w:firstLine="499"/>
        <w:spacing w:before="129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2023年度收入总计712.26万元，支出总计712.26万元。与上年相比，收入总计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增加107.52万元，增长17.78%，支出总计增加107.52万元，增长17.78%。主要原因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是人员调资、职称兑现人员经费增加；全国文明城市创建工作及古县城市绿化巩固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工程等项目支出增加。</w:t>
      </w:r>
    </w:p>
    <w:p>
      <w:pPr>
        <w:ind w:left="1202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2023年度收入合计712.26万元，其中：</w:t>
      </w:r>
    </w:p>
    <w:p>
      <w:pPr>
        <w:ind w:left="1212" w:right="4898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财政拨款收入712.26万元，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277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2023年度支出合计712.26万元，其中：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基本支出328.78万元，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占比46.16%；</w:t>
      </w:r>
    </w:p>
    <w:p>
      <w:pPr>
        <w:ind w:left="12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项目支出383.48万元，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占比53.84%；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6" w:right="937" w:firstLine="499"/>
        <w:spacing w:before="13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2023年度财政拨款收入总计712.26万元，支出总计712.26万元。与上年相比，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财政拨款收入总计增加107.52万元，增长17.78%；财政拨款支出总计增加107.52万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元，增长17.78%。主要原因是人员调资、职称兑现人员经费增加；全国文明城市创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建工作及古县城市绿化巩固工程等项目支出增加。</w:t>
      </w:r>
    </w:p>
    <w:p>
      <w:pPr>
        <w:ind w:left="1204"/>
        <w:spacing w:before="4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2023年一般公共预算财政拨款决算支出712.</w:t>
      </w:r>
      <w:r>
        <w:rPr>
          <w:rFonts w:ascii="FangSong" w:hAnsi="FangSong" w:eastAsia="FangSong" w:cs="FangSong"/>
          <w:sz w:val="25"/>
          <w:szCs w:val="25"/>
          <w:spacing w:val="-1"/>
        </w:rPr>
        <w:t>26万元，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17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100.00%。与上年相比，一般公共预算财政拨款支出增加107.52万元，增长</w:t>
      </w:r>
    </w:p>
    <w:p>
      <w:pPr>
        <w:ind w:left="711" w:right="937" w:firstLine="5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17.78%。主要原因是人员调资、职称兑现人员经费增加；全国文明城市创建工作及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古县城市绿化巩固工程等项目支出增加。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210" w:right="1748" w:hanging="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2023年度一般公共预算财政拨款支出712.26万元，主要用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社会保障和就业支出(类)71.33万元，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</w:t>
      </w:r>
      <w:r>
        <w:rPr>
          <w:rFonts w:ascii="FangSong" w:hAnsi="FangSong" w:eastAsia="FangSong" w:cs="FangSong"/>
          <w:sz w:val="25"/>
          <w:szCs w:val="25"/>
          <w:spacing w:val="-2"/>
        </w:rPr>
        <w:t>10.02%；</w:t>
      </w:r>
    </w:p>
    <w:p>
      <w:pPr>
        <w:ind w:left="1210" w:right="4520" w:firstLine="5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城乡社区支出(类)617.45万元，</w:t>
      </w:r>
      <w:r>
        <w:rPr>
          <w:rFonts w:ascii="FangSong" w:hAnsi="FangSong" w:eastAsia="FangSong" w:cs="FangSong"/>
          <w:sz w:val="25"/>
          <w:szCs w:val="25"/>
          <w:spacing w:val="-5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占比86.69%；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住房保障支出(类)23.48万元，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占比3.30%。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937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2023年度一般公共预算财政拨款支出年初预算464.81万元，支出决算712.26万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元，完成年初预算的153.24%。其中：</w:t>
      </w:r>
    </w:p>
    <w:p>
      <w:pPr>
        <w:ind w:left="706" w:right="811" w:firstLine="882"/>
        <w:spacing w:before="37" w:line="31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社会保障和就业支出年初预算42.72万元，支出决算71.33万元，完成年初预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算的166.97%，用于社会保障缴费、抚恤金、退休人员补贴及取暖费等，较上年决算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增加9万元，增长14.44%，主要原因是本年度增加退休人员补贴资金。城乡社区支出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年初预算410.05万元，支出决算617.45万元，完成年初预算的150.58%，用于人员经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日常公用经费、创建国家园林城市、园</w:t>
      </w:r>
      <w:r>
        <w:rPr>
          <w:rFonts w:ascii="FangSong" w:hAnsi="FangSong" w:eastAsia="FangSong" w:cs="FangSong"/>
          <w:sz w:val="25"/>
          <w:szCs w:val="25"/>
          <w:spacing w:val="-1"/>
        </w:rPr>
        <w:t>林绿化、古县城市绿化巩固工程等项目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资金，较上年决算增加99.4万元，增长19.19%，主要原因是本年度古县城市绿化巩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固工程项目资金增加。住房保障支出年初预算21.03万元，支出决算23.48万元，完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成年初预算的111.65%，用于在职人员住房公积金资金，较上年决算减少0.88万元，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减少3.61%，主要原因是人员减少，相应住房公积金减少。</w:t>
      </w:r>
    </w:p>
    <w:p>
      <w:pPr>
        <w:ind w:left="12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2023年度财政拨款基本支出328.78万元，其中：</w:t>
      </w:r>
    </w:p>
    <w:p>
      <w:pPr>
        <w:ind w:left="707" w:right="937" w:firstLine="507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人员经费310.65万元，主要包括基本工资、津贴补贴、绩效工资、机关事业单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位基本养老保险缴费、职工基本医疗保险缴费、其他社会保障缴费、住房公积金、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退休费、抚恤金等；</w:t>
      </w:r>
    </w:p>
    <w:p>
      <w:pPr>
        <w:ind w:left="714" w:right="805" w:firstLine="501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公用经费18.13万元，主要包括办公费、印刷费、邮电费、差旅费、劳务费、工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会经费、福利费、其他商品和服务支出等</w:t>
      </w:r>
    </w:p>
    <w:p>
      <w:pPr>
        <w:ind w:left="725"/>
        <w:spacing w:before="210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197"/>
        <w:spacing w:before="1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spacing w:line="303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711" w:right="805" w:firstLine="50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707" w:right="1057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709" w:right="805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无国内接待费；国（境）外接待费0万元，共接待国（境）外0批次，</w:t>
      </w:r>
      <w:r>
        <w:rPr>
          <w:rFonts w:ascii="FangSong" w:hAnsi="FangSong" w:eastAsia="FangSong" w:cs="FangSong"/>
          <w:sz w:val="25"/>
          <w:szCs w:val="25"/>
          <w:spacing w:val="1"/>
        </w:rPr>
        <w:t>0人次，主要</w:t>
      </w:r>
    </w:p>
    <w:p>
      <w:pPr>
        <w:ind w:left="707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是本单位无国（境）外接待费。</w:t>
      </w:r>
    </w:p>
    <w:p>
      <w:pPr>
        <w:ind w:left="1201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他用车主要是本单位无其他用车；单价100万元（含）以上设备（不含车辆）0台</w:t>
      </w:r>
    </w:p>
    <w:p>
      <w:pPr>
        <w:ind w:left="7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2023年二级项目绩效自评个数7个，涉及资金383.48万元：6个项目自评等级</w:t>
      </w:r>
    </w:p>
    <w:p>
      <w:pPr>
        <w:spacing w:line="224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6" w:lineRule="auto"/>
        <w:rPr/>
      </w:pPr>
      <w:r/>
    </w:p>
    <w:p>
      <w:pPr>
        <w:ind w:left="708" w:right="811" w:firstLine="7"/>
        <w:spacing w:before="81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”，1个项目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8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”。对于自评结果为“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”和“差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”的项目，采取的改进管理措施为进一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步加强日常绿化管护工作，科学设置预算绩效指标，加强预算绩效执行跟踪，不断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提高财政资金使用效益。</w:t>
      </w:r>
    </w:p>
    <w:p>
      <w:pPr>
        <w:ind w:left="1206" w:right="6482" w:firstLine="15"/>
        <w:spacing w:before="3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091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本单位无其他需要说明的事项</w:t>
      </w:r>
    </w:p>
    <w:p>
      <w:pPr>
        <w:spacing w:line="222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7"/>
      <w:bookmarkEnd w:id="67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十三、社会保障和就业支出：反映政府在社会保障与就业方面的支出。</w:t>
      </w:r>
    </w:p>
    <w:p>
      <w:pPr>
        <w:ind w:left="713"/>
        <w:spacing w:before="13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十四、城乡社区支出:反映政府城乡社区事务支出。</w:t>
      </w:r>
    </w:p>
    <w:p>
      <w:pPr>
        <w:ind w:left="7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十五、住房保障支出:集中反映政府用于住房方面的支</w:t>
      </w:r>
      <w:r>
        <w:rPr>
          <w:rFonts w:ascii="FangSong" w:hAnsi="FangSong" w:eastAsia="FangSong" w:cs="FangSong"/>
          <w:sz w:val="25"/>
          <w:szCs w:val="25"/>
        </w:rPr>
        <w:t>出。</w:t>
      </w:r>
    </w:p>
    <w:p>
      <w:pPr>
        <w:ind w:left="4529"/>
        <w:spacing w:before="167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8"/>
      <w:bookmarkEnd w:id="68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34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古县园林事业发展中心2023年单位决算公开报告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古县园林事业发展中心2023年单位决算公开报告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8" Type="http://schemas.openxmlformats.org/officeDocument/2006/relationships/fontTable" Target="fontTable.xml"/><Relationship Id="rId37" Type="http://schemas.openxmlformats.org/officeDocument/2006/relationships/styles" Target="styles.xml"/><Relationship Id="rId36" Type="http://schemas.openxmlformats.org/officeDocument/2006/relationships/settings" Target="settings.xml"/><Relationship Id="rId35" Type="http://schemas.openxmlformats.org/officeDocument/2006/relationships/image" Target="media/image7.jpeg"/><Relationship Id="rId34" Type="http://schemas.openxmlformats.org/officeDocument/2006/relationships/footer" Target="footer26.xml"/><Relationship Id="rId33" Type="http://schemas.openxmlformats.org/officeDocument/2006/relationships/image" Target="media/image6.jpeg"/><Relationship Id="rId32" Type="http://schemas.openxmlformats.org/officeDocument/2006/relationships/footer" Target="footer25.xml"/><Relationship Id="rId31" Type="http://schemas.openxmlformats.org/officeDocument/2006/relationships/image" Target="media/image5.jpeg"/><Relationship Id="rId30" Type="http://schemas.openxmlformats.org/officeDocument/2006/relationships/footer" Target="footer24.xml"/><Relationship Id="rId3" Type="http://schemas.openxmlformats.org/officeDocument/2006/relationships/footer" Target="footer2.xml"/><Relationship Id="rId29" Type="http://schemas.openxmlformats.org/officeDocument/2006/relationships/image" Target="media/image4.jpeg"/><Relationship Id="rId28" Type="http://schemas.openxmlformats.org/officeDocument/2006/relationships/footer" Target="footer23.xml"/><Relationship Id="rId27" Type="http://schemas.openxmlformats.org/officeDocument/2006/relationships/image" Target="media/image3.jpeg"/><Relationship Id="rId26" Type="http://schemas.openxmlformats.org/officeDocument/2006/relationships/footer" Target="footer22.xml"/><Relationship Id="rId25" Type="http://schemas.openxmlformats.org/officeDocument/2006/relationships/image" Target="media/image2.jpeg"/><Relationship Id="rId24" Type="http://schemas.openxmlformats.org/officeDocument/2006/relationships/footer" Target="footer21.xml"/><Relationship Id="rId23" Type="http://schemas.openxmlformats.org/officeDocument/2006/relationships/image" Target="media/image1.jpeg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2024-09-13T10:00:31Z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2024-09-20T10:41:14</vt:filetime>
  </property>
</Properties>
</file>