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27"/>
          <w:sz w:val="32"/>
          <w:szCs w:val="32"/>
        </w:rPr>
        <w:t>附件2:</w:t>
      </w:r>
    </w:p>
    <w:p>
      <w:pPr>
        <w:spacing w:before="316" w:line="219" w:lineRule="auto"/>
        <w:ind w:left="1356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7"/>
          <w:sz w:val="44"/>
          <w:szCs w:val="44"/>
        </w:rPr>
        <w:t>电网工程建设用地补偿标准说明</w:t>
      </w:r>
    </w:p>
    <w:p>
      <w:pPr>
        <w:pStyle w:val="2"/>
        <w:spacing w:line="258" w:lineRule="auto"/>
      </w:pPr>
    </w:p>
    <w:p>
      <w:pPr>
        <w:spacing w:before="104" w:line="287" w:lineRule="auto"/>
        <w:ind w:right="288" w:firstLine="6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一</w:t>
      </w:r>
      <w:r>
        <w:rPr>
          <w:rFonts w:ascii="仿宋" w:hAnsi="仿宋" w:eastAsia="仿宋" w:cs="仿宋"/>
          <w:spacing w:val="-7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、电网工程建设用地补偿标准适用于本县境内电网工程建</w:t>
      </w:r>
      <w:r>
        <w:rPr>
          <w:rFonts w:ascii="仿宋" w:hAnsi="仿宋" w:eastAsia="仿宋" w:cs="仿宋"/>
          <w:sz w:val="32"/>
          <w:szCs w:val="32"/>
        </w:rPr>
        <w:t xml:space="preserve"> 设项目(包括变电站、架空电力线路、电力电缆线路及其相关的 </w:t>
      </w:r>
      <w:r>
        <w:rPr>
          <w:rFonts w:ascii="仿宋" w:hAnsi="仿宋" w:eastAsia="仿宋" w:cs="仿宋"/>
          <w:spacing w:val="7"/>
          <w:sz w:val="32"/>
          <w:szCs w:val="32"/>
        </w:rPr>
        <w:t>辅助设施新建、迁建、改造、大修)。</w:t>
      </w:r>
    </w:p>
    <w:p>
      <w:pPr>
        <w:spacing w:before="198" w:line="285" w:lineRule="auto"/>
        <w:ind w:firstLine="6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</w:rPr>
        <w:t>二</w:t>
      </w:r>
      <w:r>
        <w:rPr>
          <w:rFonts w:ascii="仿宋" w:hAnsi="仿宋" w:eastAsia="仿宋" w:cs="仿宋"/>
          <w:spacing w:val="-7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、县政府成立工作组，设立专人，相关单位配</w:t>
      </w:r>
      <w:r>
        <w:rPr>
          <w:rFonts w:ascii="仿宋" w:hAnsi="仿宋" w:eastAsia="仿宋" w:cs="仿宋"/>
          <w:spacing w:val="-11"/>
          <w:sz w:val="32"/>
          <w:szCs w:val="32"/>
        </w:rPr>
        <w:t>合，负责本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7"/>
          <w:sz w:val="32"/>
          <w:szCs w:val="32"/>
        </w:rPr>
        <w:t>辖区内电网工程建设协调和广大群众的政策宣传、思想教育工作，</w:t>
      </w:r>
      <w:r>
        <w:rPr>
          <w:rFonts w:ascii="仿宋" w:hAnsi="仿宋" w:eastAsia="仿宋" w:cs="仿宋"/>
          <w:spacing w:val="1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确保电网工程建设顺利进行。</w:t>
      </w:r>
    </w:p>
    <w:p>
      <w:pPr>
        <w:spacing w:before="194" w:line="270" w:lineRule="auto"/>
        <w:ind w:right="160" w:firstLine="6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三</w:t>
      </w:r>
      <w:r>
        <w:rPr>
          <w:rFonts w:ascii="仿宋" w:hAnsi="仿宋" w:eastAsia="仿宋" w:cs="仿宋"/>
          <w:spacing w:val="-6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、在电网工程建设中，涉及占地、树木、青苗等项目，应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按规定及时补偿受赔偿当事人，确保人民群众的利益不</w:t>
      </w:r>
      <w:r>
        <w:rPr>
          <w:rFonts w:ascii="仿宋" w:hAnsi="仿宋" w:eastAsia="仿宋" w:cs="仿宋"/>
          <w:spacing w:val="-2"/>
          <w:sz w:val="32"/>
          <w:szCs w:val="32"/>
        </w:rPr>
        <w:t>受损害。</w:t>
      </w:r>
    </w:p>
    <w:p>
      <w:pPr>
        <w:spacing w:before="167" w:line="286" w:lineRule="auto"/>
        <w:ind w:right="189" w:firstLine="6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四</w:t>
      </w:r>
      <w:r>
        <w:rPr>
          <w:rFonts w:ascii="仿宋" w:hAnsi="仿宋" w:eastAsia="仿宋" w:cs="仿宋"/>
          <w:spacing w:val="-6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1"/>
          <w:sz w:val="32"/>
          <w:szCs w:val="32"/>
        </w:rPr>
        <w:t>、占地：永久性占地指变电站、电力线路的杆、塔、拉线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及相关的辅助设施占地。临时性占地指输电线路建设过程中施工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临时建筑、施工道路、施工场地、工器具存放场、料</w:t>
      </w:r>
      <w:r>
        <w:rPr>
          <w:rFonts w:ascii="仿宋" w:hAnsi="仿宋" w:eastAsia="仿宋" w:cs="仿宋"/>
          <w:spacing w:val="-3"/>
          <w:sz w:val="32"/>
          <w:szCs w:val="32"/>
        </w:rPr>
        <w:t>场等占地。</w:t>
      </w:r>
    </w:p>
    <w:p>
      <w:pPr>
        <w:spacing w:before="181" w:line="220" w:lineRule="auto"/>
        <w:ind w:left="6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6"/>
          <w:sz w:val="32"/>
          <w:szCs w:val="32"/>
        </w:rPr>
        <w:t>五</w:t>
      </w:r>
      <w:r>
        <w:rPr>
          <w:rFonts w:ascii="仿宋" w:hAnsi="仿宋" w:eastAsia="仿宋" w:cs="仿宋"/>
          <w:spacing w:val="-8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、青苗：指永久性占地或临时性占地，地面上附着农作物。</w:t>
      </w:r>
    </w:p>
    <w:p>
      <w:pPr>
        <w:spacing w:before="170" w:line="287" w:lineRule="auto"/>
        <w:ind w:right="259" w:firstLine="6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9"/>
          <w:sz w:val="32"/>
          <w:szCs w:val="32"/>
        </w:rPr>
        <w:t>六</w:t>
      </w:r>
      <w:r>
        <w:rPr>
          <w:rFonts w:ascii="仿宋" w:hAnsi="仿宋" w:eastAsia="仿宋" w:cs="仿宋"/>
          <w:spacing w:val="-8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、树木：指永久性占地、临时性占地或电力设施保护</w:t>
      </w:r>
      <w:r>
        <w:rPr>
          <w:rFonts w:ascii="仿宋" w:hAnsi="仿宋" w:eastAsia="仿宋" w:cs="仿宋"/>
          <w:spacing w:val="-10"/>
          <w:sz w:val="32"/>
          <w:szCs w:val="32"/>
        </w:rPr>
        <w:t>范围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内，按照《山西省电力设施保护条例》、《架空输电线路运行规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程》需砍伐的防护林、零星树木、经济林及其他树木。</w:t>
      </w:r>
    </w:p>
    <w:p>
      <w:pPr>
        <w:spacing w:before="208" w:line="271" w:lineRule="auto"/>
        <w:ind w:right="159" w:firstLine="6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4"/>
          <w:sz w:val="32"/>
          <w:szCs w:val="32"/>
        </w:rPr>
        <w:t>七、拆迁：指输变电工程建设过程中涉及的房屋、水利</w:t>
      </w:r>
      <w:r>
        <w:rPr>
          <w:rFonts w:ascii="仿宋" w:hAnsi="仿宋" w:eastAsia="仿宋" w:cs="仿宋"/>
          <w:spacing w:val="-15"/>
          <w:sz w:val="32"/>
          <w:szCs w:val="32"/>
        </w:rPr>
        <w:t>设施、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</w:rPr>
        <w:t>砖窑、打麦场地、坟墓等的拆迁。</w:t>
      </w:r>
    </w:p>
    <w:p>
      <w:pPr>
        <w:spacing w:before="179" w:line="275" w:lineRule="auto"/>
        <w:ind w:right="147" w:firstLine="6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八、廊道：指输电线路及保护区域内的走廊(包括电缆沟道、</w:t>
      </w:r>
      <w:r>
        <w:rPr>
          <w:rFonts w:ascii="仿宋" w:hAnsi="仿宋" w:eastAsia="仿宋" w:cs="仿宋"/>
          <w:spacing w:val="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6"/>
          <w:sz w:val="32"/>
          <w:szCs w:val="32"/>
        </w:rPr>
        <w:t>杆、塔、拉线),廊道宽度依据《山西省电力设施</w:t>
      </w:r>
      <w:r>
        <w:rPr>
          <w:rFonts w:ascii="仿宋" w:hAnsi="仿宋" w:eastAsia="仿宋" w:cs="仿宋"/>
          <w:spacing w:val="5"/>
          <w:sz w:val="32"/>
          <w:szCs w:val="32"/>
        </w:rPr>
        <w:t>保护条例》第</w:t>
      </w:r>
    </w:p>
    <w:p>
      <w:pPr>
        <w:spacing w:line="275" w:lineRule="auto"/>
        <w:rPr>
          <w:rFonts w:ascii="仿宋" w:hAnsi="仿宋" w:eastAsia="仿宋" w:cs="仿宋"/>
          <w:sz w:val="32"/>
          <w:szCs w:val="32"/>
        </w:rPr>
        <w:sectPr>
          <w:footerReference r:id="rId5" w:type="default"/>
          <w:pgSz w:w="12060" w:h="16950"/>
          <w:pgMar w:top="1440" w:right="1360" w:bottom="1379" w:left="1610" w:header="0" w:footer="1093" w:gutter="0"/>
          <w:cols w:space="720" w:num="1"/>
        </w:sectPr>
      </w:pPr>
    </w:p>
    <w:p>
      <w:pPr>
        <w:pStyle w:val="2"/>
        <w:spacing w:line="311" w:lineRule="auto"/>
      </w:pPr>
    </w:p>
    <w:p>
      <w:pPr>
        <w:pStyle w:val="2"/>
        <w:spacing w:line="312" w:lineRule="auto"/>
      </w:pPr>
    </w:p>
    <w:p>
      <w:pPr>
        <w:pStyle w:val="2"/>
        <w:spacing w:line="312" w:lineRule="auto"/>
      </w:pPr>
    </w:p>
    <w:p>
      <w:pPr>
        <w:spacing w:before="104" w:line="221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十二条相关标准执行。</w:t>
      </w:r>
    </w:p>
    <w:p>
      <w:pPr>
        <w:spacing w:before="179" w:line="272" w:lineRule="auto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2"/>
          <w:sz w:val="32"/>
          <w:szCs w:val="32"/>
        </w:rPr>
        <w:t>九</w:t>
      </w:r>
      <w:r>
        <w:rPr>
          <w:rFonts w:ascii="仿宋" w:hAnsi="仿宋" w:eastAsia="仿宋" w:cs="仿宋"/>
          <w:spacing w:val="-7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"/>
          <w:sz w:val="32"/>
          <w:szCs w:val="32"/>
        </w:rPr>
        <w:t>、变电站(换流站)建设所需用地，依法按土地征收程序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将集体土地征收为国有后，按国家有关规定办理划拨用地手续。</w:t>
      </w:r>
    </w:p>
    <w:p>
      <w:pPr>
        <w:spacing w:before="167" w:line="285" w:lineRule="auto"/>
        <w:ind w:right="102" w:firstLine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十、变电站用地依法按土地划拨程序办理征地手续；线路杆</w:t>
      </w:r>
      <w:r>
        <w:rPr>
          <w:rFonts w:ascii="仿宋" w:hAnsi="仿宋" w:eastAsia="仿宋" w:cs="仿宋"/>
          <w:spacing w:val="1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塔用地则不实行征地，依法进行一次性补偿。水泥杆在城市街道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两侧、乡村巷道两侧占地不予补偿。</w:t>
      </w:r>
    </w:p>
    <w:p>
      <w:pPr>
        <w:spacing w:before="173" w:line="219" w:lineRule="auto"/>
        <w:ind w:left="640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32"/>
          <w:sz w:val="35"/>
          <w:szCs w:val="35"/>
        </w:rPr>
        <w:t>十一、青苗补偿、临时占地补偿应在施工期间予</w:t>
      </w:r>
      <w:r>
        <w:rPr>
          <w:rFonts w:ascii="仿宋" w:hAnsi="仿宋" w:eastAsia="仿宋" w:cs="仿宋"/>
          <w:spacing w:val="-33"/>
          <w:sz w:val="35"/>
          <w:szCs w:val="35"/>
        </w:rPr>
        <w:t>以补偿。</w:t>
      </w:r>
    </w:p>
    <w:p>
      <w:pPr>
        <w:spacing w:before="144" w:line="300" w:lineRule="auto"/>
        <w:ind w:right="110" w:firstLine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7"/>
          <w:sz w:val="32"/>
          <w:szCs w:val="32"/>
        </w:rPr>
        <w:t>十二、任何单位或个人不得无理阻挠工程建设。凡违反本办</w:t>
      </w:r>
      <w:r>
        <w:rPr>
          <w:rFonts w:ascii="仿宋" w:hAnsi="仿宋" w:eastAsia="仿宋" w:cs="仿宋"/>
          <w:spacing w:val="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法的单位或个人，情节严重的，由公安机关根据《中华人民共和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国治安管理处罚法》《山西省电力设施保护</w:t>
      </w:r>
      <w:r>
        <w:rPr>
          <w:rFonts w:ascii="仿宋" w:hAnsi="仿宋" w:eastAsia="仿宋" w:cs="仿宋"/>
          <w:spacing w:val="-7"/>
          <w:sz w:val="32"/>
          <w:szCs w:val="32"/>
        </w:rPr>
        <w:t>条例》予以处罚；构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成犯罪的，由司法机关依法追究刑事责任。</w:t>
      </w:r>
    </w:p>
    <w:p>
      <w:pPr>
        <w:spacing w:before="172" w:line="275" w:lineRule="auto"/>
        <w:ind w:right="132" w:firstLine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十三、古县电力工程项目征地及地上附着物拆迁补偿标准仅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应用于古县电力工程项目。</w:t>
      </w:r>
    </w:p>
    <w:p>
      <w:pPr>
        <w:spacing w:before="167" w:line="263" w:lineRule="auto"/>
        <w:ind w:right="122" w:firstLine="640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7"/>
          <w:sz w:val="32"/>
          <w:szCs w:val="32"/>
        </w:rPr>
        <w:t>十四、电力工程占地、青赔、拆迁、树木砍</w:t>
      </w:r>
      <w:r>
        <w:rPr>
          <w:rFonts w:ascii="仿宋" w:hAnsi="仿宋" w:eastAsia="仿宋" w:cs="仿宋"/>
          <w:spacing w:val="-8"/>
          <w:sz w:val="32"/>
          <w:szCs w:val="32"/>
        </w:rPr>
        <w:t>伐等各项费用赔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9"/>
          <w:sz w:val="35"/>
          <w:szCs w:val="35"/>
        </w:rPr>
        <w:t>偿标准见附表。</w:t>
      </w:r>
    </w:p>
    <w:p>
      <w:pPr>
        <w:spacing w:before="165" w:line="220" w:lineRule="auto"/>
        <w:ind w:left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4"/>
          <w:sz w:val="32"/>
          <w:szCs w:val="32"/>
        </w:rPr>
        <w:t>十五、本标准自发布之日起实施，至2031年6月1日止。</w:t>
      </w:r>
    </w:p>
    <w:p>
      <w:pPr>
        <w:spacing w:before="110" w:line="276" w:lineRule="auto"/>
        <w:ind w:right="125" w:firstLine="6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2"/>
          <w:szCs w:val="32"/>
        </w:rPr>
        <w:t>十六、结合实际，如市政府出具新标准后依据最新文件对本</w:t>
      </w:r>
      <w:r>
        <w:rPr>
          <w:rFonts w:ascii="仿宋" w:hAnsi="仿宋" w:eastAsia="仿宋" w:cs="仿宋"/>
          <w:spacing w:val="1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标准重新修订。</w:t>
      </w:r>
      <w:bookmarkStart w:id="0" w:name="_GoBack"/>
      <w:bookmarkEnd w:id="0"/>
    </w:p>
    <w:p>
      <w:pPr>
        <w:spacing w:before="49"/>
      </w:pPr>
    </w:p>
    <w:p>
      <w:pPr>
        <w:spacing w:before="48"/>
      </w:pPr>
    </w:p>
    <w:p>
      <w:pPr>
        <w:pStyle w:val="2"/>
      </w:pPr>
    </w:p>
    <w:sectPr>
      <w:footerReference r:id="rId6" w:type="default"/>
      <w:pgSz w:w="11910" w:h="16850"/>
      <w:pgMar w:top="1432" w:right="1444" w:bottom="1284" w:left="1569" w:header="0" w:footer="96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1" w:lineRule="auto"/>
      <w:ind w:left="8000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pacing w:val="-3"/>
        <w:sz w:val="22"/>
        <w:szCs w:val="22"/>
      </w:rPr>
      <w:t>—</w:t>
    </w:r>
    <w:r>
      <w:rPr>
        <w:rFonts w:hint="eastAsia" w:ascii="宋体" w:hAnsi="宋体" w:eastAsia="宋体" w:cs="宋体"/>
        <w:spacing w:val="-3"/>
        <w:sz w:val="22"/>
        <w:szCs w:val="22"/>
        <w:lang w:val="en-US" w:eastAsia="zh-CN"/>
      </w:rPr>
      <w:t>1</w:t>
    </w:r>
    <w:r>
      <w:rPr>
        <w:rFonts w:ascii="宋体" w:hAnsi="宋体" w:eastAsia="宋体" w:cs="宋体"/>
        <w:spacing w:val="-3"/>
        <w:sz w:val="22"/>
        <w:szCs w:val="22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2" w:lineRule="auto"/>
      <w:rPr>
        <w:rFonts w:ascii="宋体" w:hAnsi="宋体" w:eastAsia="宋体" w:cs="宋体"/>
        <w:sz w:val="25"/>
        <w:szCs w:val="25"/>
      </w:rPr>
    </w:pPr>
    <w:r>
      <w:rPr>
        <w:rFonts w:ascii="宋体" w:hAnsi="宋体" w:eastAsia="宋体" w:cs="宋体"/>
        <w:spacing w:val="-2"/>
        <w:sz w:val="25"/>
        <w:szCs w:val="25"/>
      </w:rPr>
      <w:t>—</w:t>
    </w:r>
    <w:r>
      <w:rPr>
        <w:rFonts w:hint="eastAsia" w:ascii="宋体" w:hAnsi="宋体" w:eastAsia="宋体" w:cs="宋体"/>
        <w:spacing w:val="-2"/>
        <w:sz w:val="25"/>
        <w:szCs w:val="25"/>
        <w:lang w:val="en-US" w:eastAsia="zh-CN"/>
      </w:rPr>
      <w:t>2</w:t>
    </w:r>
    <w:r>
      <w:rPr>
        <w:rFonts w:ascii="宋体" w:hAnsi="宋体" w:eastAsia="宋体" w:cs="宋体"/>
        <w:spacing w:val="-2"/>
        <w:sz w:val="25"/>
        <w:szCs w:val="25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E42CB6"/>
    <w:rsid w:val="20375FA3"/>
    <w:rsid w:val="50471644"/>
    <w:rsid w:val="53CC1B29"/>
    <w:rsid w:val="79381C6E"/>
    <w:rsid w:val="7BDAE1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925</Words>
  <Characters>935</Characters>
  <TotalTime>0</TotalTime>
  <ScaleCrop>false</ScaleCrop>
  <LinksUpToDate>false</LinksUpToDate>
  <CharactersWithSpaces>967</CharactersWithSpaces>
  <Application>WPS Office_11.8.2.10422_F1E327BC-269C-435d-A152-05C5408002CA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2026-06-24T01:24:00Z</dcterms:created>
  <dc:creator>Administrator</dc:creator>
  <cp:lastModifiedBy>greatwall</cp:lastModifiedBy>
  <dcterms:modified xsi:type="dcterms:W3CDTF">2026-06-23T17:57:13Z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2026-06-23T17:24:40Z</vt:filetime>
  </property>
  <property fmtid="{D5CDD505-2E9C-101B-9397-08002B2CF9AE}" pid="4" name="UsrData">
    <vt:lpwstr>6a3a50d38f49bf001ff49595wl</vt:lpwstr>
  </property>
  <property fmtid="{D5CDD505-2E9C-101B-9397-08002B2CF9AE}" pid="5" name="KSOTemplateDocerSaveRecord">
    <vt:lpwstr>eyJoZGlkIjoiYzU3YjQwODRhMzAzNTMyZTAyNWM1YWEzN2Q3OGI5NTIiLCJ1c2VySWQiOiIzNjE2NDQ3MzEifQ==</vt:lpwstr>
  </property>
  <property fmtid="{D5CDD505-2E9C-101B-9397-08002B2CF9AE}" pid="6" name="KSOProductBuildVer">
    <vt:lpwstr>2052-11.8.2.10422</vt:lpwstr>
  </property>
  <property fmtid="{D5CDD505-2E9C-101B-9397-08002B2CF9AE}" pid="7" name="ICV">
    <vt:lpwstr>D00A9B31AC264753B618BC365E68C28A_13</vt:lpwstr>
  </property>
</Properties>
</file>