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2"/>
        <w:spacing w:before="111" w:line="217" w:lineRule="auto"/>
        <w:ind w:left="1967"/>
        <w:outlineLvl w:val="0"/>
      </w:pPr>
      <w:r>
        <w:rPr>
          <w:spacing w:val="-8"/>
        </w:rPr>
        <w:t>古 县 三 合</w:t>
      </w:r>
      <w:r>
        <w:rPr>
          <w:spacing w:val="-6"/>
        </w:rPr>
        <w:t xml:space="preserve"> </w:t>
      </w:r>
      <w:r>
        <w:rPr>
          <w:spacing w:val="-8"/>
        </w:rPr>
        <w:t>镇</w:t>
      </w:r>
      <w:r>
        <w:rPr>
          <w:spacing w:val="-16"/>
        </w:rPr>
        <w:t xml:space="preserve"> </w:t>
      </w:r>
      <w:r>
        <w:rPr>
          <w:spacing w:val="-8"/>
        </w:rPr>
        <w:t>石</w:t>
      </w:r>
      <w:r>
        <w:rPr>
          <w:spacing w:val="-15"/>
        </w:rPr>
        <w:t xml:space="preserve"> </w:t>
      </w:r>
      <w:r>
        <w:rPr>
          <w:spacing w:val="-8"/>
        </w:rPr>
        <w:t>壁 学</w:t>
      </w:r>
      <w:r>
        <w:rPr>
          <w:spacing w:val="-17"/>
        </w:rPr>
        <w:t xml:space="preserve"> </w:t>
      </w:r>
      <w:r>
        <w:rPr>
          <w:spacing w:val="-8"/>
        </w:rPr>
        <w:t>校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2"/>
        <w:spacing w:before="111" w:line="217" w:lineRule="auto"/>
        <w:ind w:left="1491"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  <w:cols w:space="720" w:num="1"/>
        </w:sectPr>
      </w:pPr>
    </w:p>
    <w:p>
      <w:pPr>
        <w:spacing w:before="90" w:line="223" w:lineRule="auto"/>
        <w:ind w:left="4048"/>
        <w:outlineLvl w:val="0"/>
        <w:rPr>
          <w:rFonts w:ascii="FangSong" w:hAnsi="FangSong" w:eastAsia="FangSong" w:cs="FangSong"/>
          <w:sz w:val="44"/>
          <w:szCs w:val="44"/>
        </w:rPr>
      </w:pPr>
      <w:bookmarkStart w:id="0" w:name="bookmark1"/>
      <w:bookmarkEnd w:id="0"/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目</w:t>
      </w:r>
      <w:r>
        <w:rPr>
          <w:rFonts w:ascii="FangSong" w:hAnsi="FangSong" w:eastAsia="FangSong" w:cs="FangSong"/>
          <w:spacing w:val="22"/>
          <w:sz w:val="44"/>
          <w:szCs w:val="44"/>
        </w:rPr>
        <w:t xml:space="preserve">  </w:t>
      </w:r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录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sdt>
      <w:sdtPr>
        <w:rPr>
          <w:rFonts w:ascii="FangSong" w:hAnsi="FangSong" w:eastAsia="FangSong" w:cs="FangSong"/>
          <w:sz w:val="26"/>
          <w:szCs w:val="26"/>
        </w:rPr>
        <w:id w:val="0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tabs>
              <w:tab w:val="right" w:leader="dot" w:pos="9230"/>
            </w:tabs>
            <w:spacing w:before="85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FangSong" w:hAnsi="FangSong" w:eastAsia="FangSong" w:cs="FangSong"/>
              <w:spacing w:val="2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3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一、本部门（单位）职责</w:t>
          </w:r>
          <w:r>
            <w:rPr>
              <w:rFonts w:ascii="FangSong" w:hAnsi="FangSong" w:eastAsia="FangSong" w:cs="FangSong"/>
              <w:spacing w:val="-4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二、机构设置情况</w:t>
          </w:r>
          <w:r>
            <w:rPr>
              <w:rFonts w:ascii="FangSong" w:hAnsi="FangSong" w:eastAsia="FangSong" w:cs="FangSong"/>
              <w:spacing w:val="-7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29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 xml:space="preserve">   </w:t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b/>
              <w:bCs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一、收入支出决算总表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3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spacing w:val="-1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二、收入决算表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0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三、支出决算表</w:t>
          </w:r>
          <w:r>
            <w:rPr>
              <w:rFonts w:ascii="FangSong" w:hAnsi="FangSong" w:eastAsia="FangSong" w:cs="FangSong"/>
              <w:spacing w:val="-7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FangSong" w:hAnsi="FangSong" w:eastAsia="FangSong" w:cs="FangSong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9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2"/>
              <w:sz w:val="26"/>
              <w:szCs w:val="26"/>
            </w:rPr>
            <w:t>6</w:t>
          </w:r>
          <w:r>
            <w:rPr>
              <w:rFonts w:ascii="FangSong" w:hAnsi="FangSong" w:eastAsia="FangSong" w:cs="FangSong"/>
              <w:spacing w:val="-1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FangSong" w:hAnsi="FangSong" w:eastAsia="FangSong" w:cs="FangSong"/>
              <w:spacing w:val="-6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7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8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FangSong" w:hAnsi="FangSong" w:eastAsia="FangSong" w:cs="FangSong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FangSong" w:hAnsi="FangSong" w:eastAsia="FangSong" w:cs="FangSong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FangSong" w:hAnsi="FangSong" w:eastAsia="FangSong" w:cs="FangSong"/>
              <w:spacing w:val="-6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11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FangSong" w:hAnsi="FangSong" w:eastAsia="FangSong" w:cs="FangSong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12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FangSong" w:hAnsi="FangSong" w:eastAsia="FangSong" w:cs="FangSong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13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9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FangSong" w:hAnsi="FangSong" w:eastAsia="FangSong" w:cs="FangSong"/>
              <w:spacing w:val="14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b/>
              <w:bCs/>
              <w:spacing w:val="-17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FangSong" w:hAnsi="FangSong" w:eastAsia="FangSong" w:cs="FangSong"/>
              <w:spacing w:val="-4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FangSong" w:hAnsi="FangSong" w:eastAsia="FangSong" w:cs="FangSong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二、收入决算情况说明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三、支出决算情况说明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FangSong" w:hAnsi="FangSong" w:eastAsia="FangSong" w:cs="FangSong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FangSong" w:hAnsi="FangSong" w:eastAsia="FangSong" w:cs="FangSong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FangSong" w:hAnsi="FangSong" w:eastAsia="FangSong" w:cs="FangSong"/>
              <w:spacing w:val="-6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FangSong" w:hAnsi="FangSong" w:eastAsia="FangSong" w:cs="FangSong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FangSong" w:hAnsi="FangSong" w:eastAsia="FangSong" w:cs="FangSong"/>
              <w:spacing w:val="-9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FangSong" w:hAnsi="FangSong" w:eastAsia="FangSong" w:cs="FangSong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FangSong" w:hAnsi="FangSong" w:eastAsia="FangSong" w:cs="FangSong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FangSong" w:hAnsi="FangSong" w:eastAsia="FangSong" w:cs="FangSong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FangSong" w:hAnsi="FangSong" w:eastAsia="FangSong" w:cs="FangSong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十、其他重要事项情况说明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FangSong" w:hAnsi="FangSong" w:eastAsia="FangSong" w:cs="FangSong"/>
              <w:spacing w:val="10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b/>
              <w:bCs/>
              <w:spacing w:val="-16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2" w:lineRule="auto"/>
            <w:rPr>
              <w:rFonts w:ascii="FangSong" w:hAnsi="FangSong" w:eastAsia="FangSong" w:cs="FangSong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FangSong" w:hAnsi="FangSong" w:eastAsia="FangSong" w:cs="FangSong"/>
              <w:spacing w:val="16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>
      <w:pPr>
        <w:spacing w:line="222" w:lineRule="auto"/>
        <w:rPr>
          <w:rFonts w:ascii="FangSong" w:hAnsi="FangSong" w:eastAsia="FangSong" w:cs="FangSong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81" w:line="222" w:lineRule="auto"/>
        <w:ind w:left="4529"/>
        <w:outlineLvl w:val="0"/>
        <w:rPr>
          <w:rFonts w:ascii="SimHei" w:hAnsi="SimHei" w:eastAsia="SimHei" w:cs="SimHei"/>
          <w:sz w:val="25"/>
          <w:szCs w:val="25"/>
        </w:rPr>
      </w:pPr>
      <w:bookmarkStart w:id="28" w:name="bookmark2"/>
      <w:bookmarkEnd w:id="28"/>
      <w:r>
        <w:rPr>
          <w:rFonts w:ascii="SimHei" w:hAnsi="SimHei" w:eastAsia="SimHei" w:cs="SimHei"/>
          <w:sz w:val="25"/>
          <w:szCs w:val="25"/>
        </w:rPr>
        <w:t>第一部分 概况</w:t>
      </w:r>
    </w:p>
    <w:p>
      <w:pPr>
        <w:spacing w:before="275" w:line="222" w:lineRule="auto"/>
        <w:ind w:left="1208"/>
        <w:outlineLvl w:val="1"/>
        <w:rPr>
          <w:rFonts w:ascii="SimHei" w:hAnsi="SimHei" w:eastAsia="SimHei" w:cs="SimHei"/>
          <w:sz w:val="25"/>
          <w:szCs w:val="25"/>
        </w:rPr>
      </w:pPr>
      <w:bookmarkStart w:id="29" w:name="bookmark3"/>
      <w:bookmarkEnd w:id="29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spacing w:before="275" w:line="222" w:lineRule="auto"/>
        <w:ind w:left="7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古县三合镇石壁学校主要职能是坚持贯彻和执行党和国家方针政策，实施素质教</w:t>
      </w:r>
    </w:p>
    <w:p>
      <w:pPr>
        <w:spacing w:before="129" w:line="309" w:lineRule="auto"/>
        <w:ind w:left="706" w:right="937" w:firstLine="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育，提高教育质量使少年儿童在品德、智力、体质等方面全面发展，为培养、有理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想、有道德、有文化、有纪律的社会主义建</w:t>
      </w:r>
      <w:r>
        <w:rPr>
          <w:rFonts w:ascii="FangSong" w:hAnsi="FangSong" w:eastAsia="FangSong" w:cs="FangSong"/>
          <w:spacing w:val="1"/>
          <w:sz w:val="25"/>
          <w:szCs w:val="25"/>
        </w:rPr>
        <w:t>设者和接班人奠定基础。科学管理全镇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教师队伍，有效组织教育教研活动，为我镇教育提供保障。</w:t>
      </w:r>
    </w:p>
    <w:p>
      <w:pPr>
        <w:spacing w:before="186" w:line="223" w:lineRule="auto"/>
        <w:ind w:left="1208"/>
        <w:outlineLvl w:val="1"/>
        <w:rPr>
          <w:rFonts w:ascii="SimHei" w:hAnsi="SimHei" w:eastAsia="SimHei" w:cs="SimHei"/>
          <w:sz w:val="25"/>
          <w:szCs w:val="25"/>
        </w:rPr>
      </w:pPr>
      <w:bookmarkStart w:id="30" w:name="bookmark4"/>
      <w:bookmarkEnd w:id="30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spacing w:before="131" w:line="222" w:lineRule="auto"/>
        <w:ind w:left="70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根据主要职责，古县三合镇石壁学校无内设机构。</w:t>
      </w:r>
    </w:p>
    <w:p>
      <w:pPr>
        <w:spacing w:line="222" w:lineRule="auto"/>
        <w:rPr>
          <w:rFonts w:ascii="FangSong" w:hAnsi="FangSong" w:eastAsia="FangSong" w:cs="FangSong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1" w:line="223" w:lineRule="auto"/>
        <w:ind w:left="3772"/>
        <w:outlineLvl w:val="0"/>
        <w:rPr>
          <w:rFonts w:ascii="SimHei" w:hAnsi="SimHei" w:eastAsia="SimHei" w:cs="SimHei"/>
          <w:sz w:val="25"/>
          <w:szCs w:val="25"/>
        </w:rPr>
      </w:pPr>
      <w:bookmarkStart w:id="31" w:name="bookmark5"/>
      <w:bookmarkEnd w:id="31"/>
      <w:bookmarkStart w:id="32" w:name="bookmark29"/>
      <w:bookmarkEnd w:id="32"/>
      <w:r>
        <w:rPr>
          <w:rFonts w:ascii="SimHei" w:hAnsi="SimHei" w:eastAsia="SimHei" w:cs="SimHei"/>
          <w:spacing w:val="1"/>
          <w:sz w:val="25"/>
          <w:szCs w:val="25"/>
        </w:rPr>
        <w:t>第二部分 2023年部门决算表</w:t>
      </w:r>
    </w:p>
    <w:p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部门名称：古县三合镇石壁学校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55" w:line="188" w:lineRule="auto"/>
              <w:ind w:left="113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299.98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7" w:line="189" w:lineRule="auto"/>
              <w:ind w:left="1079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178.64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7" w:line="189" w:lineRule="auto"/>
              <w:ind w:left="1079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107.37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8" w:line="189" w:lineRule="auto"/>
              <w:ind w:left="115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13.80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9" w:line="189" w:lineRule="auto"/>
              <w:ind w:left="122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36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3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4" w:line="220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34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7"/>
            <w:bookmarkEnd w:id="35"/>
            <w:bookmarkStart w:id="36" w:name="bookmark31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64" w:line="226" w:lineRule="auto"/>
              <w:ind w:left="17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3807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4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88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6" w:line="227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7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4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560" w:type="dxa"/>
            <w:gridSpan w:val="2"/>
            <w:vAlign w:val="top"/>
          </w:tcPr>
          <w:p>
            <w:pPr>
              <w:pStyle w:val="6"/>
              <w:spacing w:before="45" w:line="220" w:lineRule="auto"/>
              <w:ind w:left="10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7" w:line="219" w:lineRule="auto"/>
              <w:ind w:left="66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2" w:line="214" w:lineRule="auto"/>
              <w:ind w:left="193" w:right="36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6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9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06" w:lineRule="auto"/>
              <w:ind w:left="104"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6"/>
              <w:spacing w:line="209" w:lineRule="auto"/>
              <w:ind w:left="270"/>
            </w:pPr>
            <w:r>
              <w:rPr>
                <w:color w:val="212529"/>
              </w:rPr>
              <w:t>位</w:t>
            </w:r>
          </w:p>
          <w:p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6"/>
              <w:spacing w:line="202" w:lineRule="auto"/>
              <w:ind w:left="269"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13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41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41" w:line="219" w:lineRule="auto"/>
              <w:ind w:left="17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560" w:type="dxa"/>
            <w:gridSpan w:val="2"/>
            <w:vAlign w:val="top"/>
          </w:tcPr>
          <w:p>
            <w:pPr>
              <w:spacing w:before="53" w:line="179" w:lineRule="auto"/>
              <w:ind w:left="107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spacing w:before="71" w:line="195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spacing w:before="68" w:line="198" w:lineRule="auto"/>
              <w:ind w:left="49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spacing w:before="68" w:line="200" w:lineRule="auto"/>
              <w:ind w:left="3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spacing w:before="71" w:line="195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spacing w:before="71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spacing w:before="68" w:line="200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spacing w:before="71" w:line="195" w:lineRule="auto"/>
              <w:ind w:left="3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560" w:type="dxa"/>
            <w:gridSpan w:val="2"/>
            <w:vAlign w:val="top"/>
          </w:tcPr>
          <w:p>
            <w:pPr>
              <w:spacing w:before="51" w:line="182" w:lineRule="auto"/>
              <w:ind w:left="107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47" w:line="219" w:lineRule="auto"/>
              <w:ind w:left="6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7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47" w:line="219" w:lineRule="auto"/>
              <w:ind w:left="3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7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47" w:line="219" w:lineRule="auto"/>
              <w:ind w:left="9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157.84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7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157.84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5" w:right="28"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3" w:line="183" w:lineRule="auto"/>
              <w:ind w:left="764"/>
            </w:pPr>
            <w:r>
              <w:rPr>
                <w:color w:val="212529"/>
                <w:spacing w:val="-2"/>
              </w:rPr>
              <w:t>20.80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3" w:line="183" w:lineRule="auto"/>
              <w:ind w:left="633"/>
            </w:pPr>
            <w:r>
              <w:rPr>
                <w:color w:val="212529"/>
                <w:spacing w:val="-2"/>
              </w:rPr>
              <w:t>20.80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3" w:right="2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5" w:right="2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3" w:line="203" w:lineRule="auto"/>
              <w:ind w:left="2" w:right="28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6" w:line="184" w:lineRule="auto"/>
              <w:ind w:left="761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6" w:line="184" w:lineRule="auto"/>
              <w:ind w:left="630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3" w:line="205" w:lineRule="auto"/>
              <w:ind w:left="2" w:right="2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6" w:line="183" w:lineRule="auto"/>
              <w:ind w:left="764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6" w:line="183" w:lineRule="auto"/>
              <w:ind w:left="633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" w:line="204" w:lineRule="auto"/>
              <w:ind w:left="4" w:right="2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7" w:line="183" w:lineRule="auto"/>
              <w:ind w:left="765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7" w:line="183" w:lineRule="auto"/>
              <w:ind w:left="634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81" w:line="184" w:lineRule="auto"/>
              <w:ind w:left="775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81" w:line="184" w:lineRule="auto"/>
              <w:ind w:left="64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81" w:line="184" w:lineRule="auto"/>
              <w:ind w:left="775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81" w:line="184" w:lineRule="auto"/>
              <w:ind w:left="64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54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81" w:line="184" w:lineRule="auto"/>
              <w:ind w:left="775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81" w:line="184" w:lineRule="auto"/>
              <w:ind w:left="64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" w:line="202" w:lineRule="auto"/>
              <w:ind w:left="9" w:right="28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" w:line="204" w:lineRule="auto"/>
              <w:ind w:left="3" w:right="28" w:firstLine="30"/>
              <w:jc w:val="both"/>
            </w:pPr>
            <w:r>
              <w:rPr>
                <w:color w:val="212529"/>
                <w:spacing w:val="-7"/>
              </w:rPr>
              <w:t>自然灾害救灾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及恢复重建支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8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32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8" w:line="201" w:lineRule="auto"/>
              <w:ind w:left="5" w:right="28" w:firstLine="28"/>
            </w:pPr>
            <w:r>
              <w:rPr>
                <w:color w:val="212529"/>
                <w:spacing w:val="-7"/>
              </w:rPr>
              <w:t>自然灾害灾后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重建补助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3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31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36" w:line="203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34" w:line="21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64" w:line="226" w:lineRule="auto"/>
              <w:ind w:left="3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071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53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部门名称：古县三合镇石壁学校</w:t>
            </w:r>
          </w:p>
        </w:tc>
        <w:tc>
          <w:tcPr>
            <w:tcW w:w="250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4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4" w:line="225" w:lineRule="auto"/>
              <w:ind w:left="86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76" w:type="dxa"/>
            <w:gridSpan w:val="2"/>
            <w:vAlign w:val="top"/>
          </w:tcPr>
          <w:p>
            <w:pPr>
              <w:spacing w:before="62" w:line="169" w:lineRule="auto"/>
              <w:ind w:left="118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1" w:line="219" w:lineRule="auto"/>
              <w:ind w:left="90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1" w:line="219" w:lineRule="auto"/>
              <w:ind w:left="27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1" w:line="220" w:lineRule="auto"/>
              <w:ind w:left="23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" w:line="206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1" w:line="220" w:lineRule="auto"/>
              <w:ind w:left="102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08" w:lineRule="auto"/>
              <w:ind w:left="281" w:right="38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6"/>
              <w:spacing w:line="203" w:lineRule="auto"/>
              <w:ind w:left="28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45" w:line="219" w:lineRule="auto"/>
              <w:ind w:left="393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45" w:line="219" w:lineRule="auto"/>
              <w:ind w:left="23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76" w:type="dxa"/>
            <w:gridSpan w:val="2"/>
            <w:vAlign w:val="top"/>
          </w:tcPr>
          <w:p>
            <w:pPr>
              <w:pStyle w:val="6"/>
              <w:spacing w:before="34" w:line="219" w:lineRule="auto"/>
              <w:ind w:left="119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spacing w:before="70" w:line="195" w:lineRule="auto"/>
              <w:ind w:left="59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spacing w:before="67" w:line="198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spacing w:before="67" w:line="200" w:lineRule="auto"/>
              <w:ind w:left="54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spacing w:before="70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spacing w:before="70" w:line="197" w:lineRule="auto"/>
              <w:ind w:left="4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spacing w:before="67" w:line="200" w:lineRule="auto"/>
              <w:ind w:left="41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76" w:type="dxa"/>
            <w:gridSpan w:val="2"/>
            <w:vAlign w:val="top"/>
          </w:tcPr>
          <w:p>
            <w:pPr>
              <w:pStyle w:val="6"/>
              <w:spacing w:before="33" w:line="221" w:lineRule="auto"/>
              <w:ind w:left="119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254.83</w:t>
            </w:r>
          </w:p>
        </w:tc>
        <w:tc>
          <w:tcPr>
            <w:tcW w:w="1211" w:type="dxa"/>
            <w:vAlign w:val="top"/>
          </w:tcPr>
          <w:p>
            <w:pPr>
              <w:pStyle w:val="6"/>
              <w:spacing w:before="61" w:line="184" w:lineRule="auto"/>
              <w:ind w:left="728"/>
            </w:pPr>
            <w:r>
              <w:rPr>
                <w:color w:val="212529"/>
                <w:spacing w:val="-2"/>
              </w:rPr>
              <w:t>45.15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2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34" w:line="219" w:lineRule="auto"/>
              <w:ind w:left="6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211" w:type="dxa"/>
            <w:vAlign w:val="top"/>
          </w:tcPr>
          <w:p>
            <w:pPr>
              <w:pStyle w:val="6"/>
              <w:spacing w:before="62" w:line="183" w:lineRule="auto"/>
              <w:ind w:left="728"/>
            </w:pPr>
            <w:r>
              <w:rPr>
                <w:color w:val="212529"/>
                <w:spacing w:val="-2"/>
              </w:rPr>
              <w:t>44.99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2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34" w:line="219" w:lineRule="auto"/>
              <w:ind w:left="3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211" w:type="dxa"/>
            <w:vAlign w:val="top"/>
          </w:tcPr>
          <w:p>
            <w:pPr>
              <w:pStyle w:val="6"/>
              <w:spacing w:before="62" w:line="183" w:lineRule="auto"/>
              <w:ind w:left="728"/>
            </w:pPr>
            <w:r>
              <w:rPr>
                <w:color w:val="212529"/>
                <w:spacing w:val="-2"/>
              </w:rPr>
              <w:t>44.99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2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34" w:line="219" w:lineRule="auto"/>
              <w:ind w:left="9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157.84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1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211" w:type="dxa"/>
            <w:vAlign w:val="top"/>
          </w:tcPr>
          <w:p>
            <w:pPr>
              <w:pStyle w:val="6"/>
              <w:spacing w:before="61" w:line="184" w:lineRule="auto"/>
              <w:ind w:left="730"/>
            </w:pPr>
            <w:r>
              <w:rPr>
                <w:color w:val="212529"/>
                <w:spacing w:val="-2"/>
              </w:rPr>
              <w:t>24.19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" w:line="204" w:lineRule="auto"/>
              <w:ind w:left="5" w:right="148"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2" w:line="183" w:lineRule="auto"/>
              <w:ind w:left="812"/>
            </w:pPr>
            <w:r>
              <w:rPr>
                <w:color w:val="212529"/>
                <w:spacing w:val="-2"/>
              </w:rPr>
              <w:t>20.80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>
            <w:pPr>
              <w:pStyle w:val="6"/>
              <w:spacing w:before="122" w:line="183" w:lineRule="auto"/>
              <w:ind w:left="730"/>
            </w:pPr>
            <w:r>
              <w:rPr>
                <w:color w:val="212529"/>
                <w:spacing w:val="-2"/>
              </w:rPr>
              <w:t>20.80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" w:line="204" w:lineRule="auto"/>
              <w:ind w:left="3" w:right="14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2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" w:line="204" w:lineRule="auto"/>
              <w:ind w:left="3" w:right="148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5" w:line="184" w:lineRule="auto"/>
              <w:ind w:left="809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5" w:line="184" w:lineRule="auto"/>
              <w:ind w:left="810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3" w:line="205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235" w:line="183" w:lineRule="auto"/>
              <w:ind w:left="812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235" w:line="183" w:lineRule="auto"/>
              <w:ind w:left="813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3" w:line="205" w:lineRule="auto"/>
              <w:ind w:left="4" w:right="14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236" w:line="183" w:lineRule="auto"/>
              <w:ind w:left="813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236" w:line="183" w:lineRule="auto"/>
              <w:ind w:left="814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3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3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41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3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68" w:line="184" w:lineRule="auto"/>
              <w:ind w:left="824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5" w:line="202" w:lineRule="auto"/>
              <w:ind w:left="9" w:right="148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>
            <w:pPr>
              <w:pStyle w:val="6"/>
              <w:spacing w:before="12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6" w:line="204" w:lineRule="auto"/>
              <w:ind w:left="3" w:right="148" w:firstLine="30"/>
              <w:jc w:val="both"/>
            </w:pPr>
            <w:r>
              <w:rPr>
                <w:color w:val="212529"/>
                <w:spacing w:val="-7"/>
              </w:rPr>
              <w:t>自然灾害救灾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及恢复重建支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23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>
            <w:pPr>
              <w:pStyle w:val="6"/>
              <w:spacing w:before="2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41" w:type="dxa"/>
            <w:vAlign w:val="top"/>
          </w:tcPr>
          <w:p>
            <w:pPr>
              <w:pStyle w:val="6"/>
              <w:spacing w:before="132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8" w:line="201" w:lineRule="auto"/>
              <w:ind w:left="5" w:right="148" w:firstLine="28"/>
            </w:pPr>
            <w:r>
              <w:rPr>
                <w:color w:val="212529"/>
                <w:spacing w:val="-7"/>
              </w:rPr>
              <w:t>自然灾害灾后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重建补助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>
            <w:pPr>
              <w:pStyle w:val="6"/>
              <w:spacing w:before="13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55" w:line="179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spacing w:before="115" w:line="179" w:lineRule="auto"/>
              <w:ind w:left="51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spacing w:before="115" w:line="179" w:lineRule="auto"/>
              <w:ind w:left="62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38" w:line="183" w:lineRule="auto"/>
              <w:ind w:left="918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1" w:line="184" w:lineRule="auto"/>
              <w:ind w:left="406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1" w:line="184" w:lineRule="auto"/>
              <w:ind w:left="695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39" w:line="183" w:lineRule="auto"/>
              <w:ind w:left="918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40" w:line="183" w:lineRule="auto"/>
              <w:ind w:left="918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" w:line="179" w:lineRule="auto"/>
              <w:ind w:left="8" w:right="185" w:hanging="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6"/>
        <w:gridCol w:w="2674"/>
        <w:gridCol w:w="1606"/>
        <w:gridCol w:w="1463"/>
        <w:gridCol w:w="14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0" w:line="190" w:lineRule="auto"/>
              <w:ind w:left="2787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Microsoft YaHei" w:hAnsi="Microsoft YaHei" w:eastAsia="Microsoft YaHei" w:cs="Microsoft YaHei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5" w:line="226" w:lineRule="auto"/>
              <w:ind w:left="8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9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9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606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73" w:line="202" w:lineRule="auto"/>
              <w:ind w:left="50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9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490" w:type="dxa"/>
            <w:gridSpan w:val="2"/>
            <w:vAlign w:val="top"/>
          </w:tcPr>
          <w:p>
            <w:pPr>
              <w:spacing w:before="76" w:line="171" w:lineRule="auto"/>
              <w:ind w:left="204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26" w:type="dxa"/>
            <w:gridSpan w:val="3"/>
            <w:vAlign w:val="top"/>
          </w:tcPr>
          <w:p>
            <w:pPr>
              <w:spacing w:before="64" w:line="178" w:lineRule="auto"/>
              <w:ind w:left="188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16" w:type="dxa"/>
            <w:vAlign w:val="top"/>
          </w:tcPr>
          <w:p>
            <w:pPr>
              <w:spacing w:before="65" w:line="180" w:lineRule="auto"/>
              <w:ind w:left="52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spacing w:before="65" w:line="179" w:lineRule="auto"/>
              <w:ind w:left="95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spacing w:before="64" w:line="181" w:lineRule="auto"/>
              <w:ind w:left="60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spacing w:before="64" w:line="178" w:lineRule="auto"/>
              <w:ind w:left="35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spacing w:before="63" w:line="181" w:lineRule="auto"/>
              <w:ind w:left="3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490" w:type="dxa"/>
            <w:gridSpan w:val="2"/>
            <w:vAlign w:val="top"/>
          </w:tcPr>
          <w:p>
            <w:pPr>
              <w:spacing w:before="67" w:line="179" w:lineRule="auto"/>
              <w:ind w:left="204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6" w:line="184" w:lineRule="auto"/>
              <w:ind w:left="753"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7" w:line="183" w:lineRule="auto"/>
              <w:ind w:left="673"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6"/>
              <w:spacing w:before="77" w:line="183" w:lineRule="auto"/>
              <w:ind w:left="669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490" w:type="dxa"/>
            <w:gridSpan w:val="2"/>
            <w:vAlign w:val="top"/>
          </w:tcPr>
          <w:p>
            <w:pPr>
              <w:pStyle w:val="6"/>
              <w:spacing w:before="49" w:line="221" w:lineRule="auto"/>
              <w:ind w:left="20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299.98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8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254.83</w:t>
            </w:r>
          </w:p>
        </w:tc>
        <w:tc>
          <w:tcPr>
            <w:tcW w:w="1457" w:type="dxa"/>
            <w:vAlign w:val="top"/>
          </w:tcPr>
          <w:p>
            <w:pPr>
              <w:pStyle w:val="6"/>
              <w:spacing w:before="77" w:line="184" w:lineRule="auto"/>
              <w:ind w:left="971"/>
            </w:pPr>
            <w:r>
              <w:rPr>
                <w:color w:val="212529"/>
                <w:spacing w:val="-2"/>
              </w:rPr>
              <w:t>45.15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0" w:line="219" w:lineRule="auto"/>
              <w:ind w:left="7"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7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7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457" w:type="dxa"/>
            <w:vAlign w:val="top"/>
          </w:tcPr>
          <w:p>
            <w:pPr>
              <w:pStyle w:val="6"/>
              <w:spacing w:before="78" w:line="183" w:lineRule="auto"/>
              <w:ind w:left="971"/>
            </w:pPr>
            <w:r>
              <w:rPr>
                <w:color w:val="212529"/>
                <w:spacing w:val="-2"/>
              </w:rPr>
              <w:t>44.99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178.64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457" w:type="dxa"/>
            <w:vAlign w:val="top"/>
          </w:tcPr>
          <w:p>
            <w:pPr>
              <w:pStyle w:val="6"/>
              <w:spacing w:before="79" w:line="183" w:lineRule="auto"/>
              <w:ind w:left="971"/>
            </w:pPr>
            <w:r>
              <w:rPr>
                <w:color w:val="212529"/>
                <w:spacing w:val="-2"/>
              </w:rPr>
              <w:t>44.99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1" w:line="219" w:lineRule="auto"/>
              <w:ind w:left="10"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157.84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133.66</w:t>
            </w:r>
          </w:p>
        </w:tc>
        <w:tc>
          <w:tcPr>
            <w:tcW w:w="1457" w:type="dxa"/>
            <w:vAlign w:val="top"/>
          </w:tcPr>
          <w:p>
            <w:pPr>
              <w:pStyle w:val="6"/>
              <w:spacing w:before="78" w:line="184" w:lineRule="auto"/>
              <w:ind w:left="974"/>
            </w:pPr>
            <w:r>
              <w:rPr>
                <w:color w:val="212529"/>
                <w:spacing w:val="-2"/>
              </w:rPr>
              <w:t>24.19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2" w:line="219" w:lineRule="auto"/>
              <w:ind w:left="6"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0" w:line="183" w:lineRule="auto"/>
              <w:ind w:left="1126"/>
            </w:pPr>
            <w:r>
              <w:rPr>
                <w:color w:val="212529"/>
                <w:spacing w:val="-2"/>
              </w:rPr>
              <w:t>20.80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>
            <w:pPr>
              <w:pStyle w:val="6"/>
              <w:spacing w:before="80" w:line="183" w:lineRule="auto"/>
              <w:ind w:left="974"/>
            </w:pPr>
            <w:r>
              <w:rPr>
                <w:color w:val="212529"/>
                <w:spacing w:val="-2"/>
              </w:rPr>
              <w:t>20.80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2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79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107.37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0" w:line="184" w:lineRule="auto"/>
              <w:ind w:left="1123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0" w:line="184" w:lineRule="auto"/>
              <w:ind w:left="982"/>
            </w:pPr>
            <w:r>
              <w:rPr>
                <w:color w:val="212529"/>
                <w:spacing w:val="-2"/>
              </w:rPr>
              <w:t>47.18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" w:line="202" w:lineRule="auto"/>
              <w:ind w:left="5" w:right="146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129" w:line="183" w:lineRule="auto"/>
              <w:ind w:left="1126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129" w:line="183" w:lineRule="auto"/>
              <w:ind w:left="985"/>
            </w:pPr>
            <w:r>
              <w:rPr>
                <w:color w:val="212529"/>
                <w:spacing w:val="-2"/>
              </w:rPr>
              <w:t>24.47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2" w:line="183" w:lineRule="auto"/>
              <w:ind w:left="1128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2" w:line="183" w:lineRule="auto"/>
              <w:ind w:left="986"/>
            </w:pPr>
            <w:r>
              <w:rPr>
                <w:color w:val="212529"/>
                <w:spacing w:val="-3"/>
              </w:rPr>
              <w:t>35.72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left="1137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1" w:line="184" w:lineRule="auto"/>
              <w:ind w:left="996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left="1137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1" w:line="184" w:lineRule="auto"/>
              <w:ind w:left="996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left="1137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63" w:type="dxa"/>
            <w:vAlign w:val="top"/>
          </w:tcPr>
          <w:p>
            <w:pPr>
              <w:pStyle w:val="6"/>
              <w:spacing w:before="81" w:line="184" w:lineRule="auto"/>
              <w:ind w:left="996"/>
            </w:pPr>
            <w:r>
              <w:rPr>
                <w:color w:val="212529"/>
                <w:spacing w:val="-5"/>
              </w:rPr>
              <w:t>13.80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19" w:lineRule="auto"/>
              <w:ind w:left="9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19" w:lineRule="auto"/>
              <w:ind w:left="35"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674" w:type="dxa"/>
            <w:vAlign w:val="top"/>
          </w:tcPr>
          <w:p>
            <w:pPr>
              <w:pStyle w:val="6"/>
              <w:spacing w:before="54" w:line="220" w:lineRule="auto"/>
              <w:ind w:left="35"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606" w:type="dxa"/>
            <w:vAlign w:val="top"/>
          </w:tcPr>
          <w:p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>
            <w:pPr>
              <w:spacing w:before="47" w:line="203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>
            <w:pPr>
              <w:spacing w:before="112" w:line="183" w:lineRule="auto"/>
              <w:ind w:left="14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>
            <w:pPr>
              <w:spacing w:before="113" w:line="180" w:lineRule="auto"/>
              <w:ind w:left="48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5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5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0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1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67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5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193.64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14.00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63.12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14.40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31.20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24.47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35.72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6.98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60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3.95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13.80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5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47.18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5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12.80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4" w:type="default"/>
          <w:footerReference r:id="rId1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34.38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5.22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8.79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240.82</w:t>
            </w:r>
          </w:p>
        </w:tc>
        <w:tc>
          <w:tcPr>
            <w:tcW w:w="9311" w:type="dxa"/>
            <w:gridSpan w:val="8"/>
            <w:vAlign w:val="top"/>
          </w:tcPr>
          <w:p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54" w:line="188" w:lineRule="auto"/>
              <w:ind w:left="694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5" w:line="221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7" w:type="default"/>
          <w:footerReference r:id="rId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14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34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14"/>
            <w:bookmarkEnd w:id="49"/>
            <w:bookmarkStart w:id="50" w:name="bookmark38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部门名称：古县三合镇石壁学校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34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609" w:right="132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>
            <w:pPr>
              <w:spacing w:before="110" w:line="184" w:lineRule="auto"/>
              <w:ind w:left="55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7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35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620" w:right="133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>
            <w:pPr>
              <w:spacing w:before="110" w:line="184" w:lineRule="auto"/>
              <w:ind w:left="55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0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spacing w:before="152" w:line="181" w:lineRule="auto"/>
              <w:ind w:left="3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350" w:right="117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82" w:right="117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spacing w:before="152" w:line="181" w:lineRule="auto"/>
              <w:ind w:left="35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355" w:right="112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87" w:right="112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" w:line="209" w:lineRule="auto"/>
        <w:ind w:left="841"/>
        <w:rPr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8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color w:val="212529"/>
          <w:spacing w:val="-1"/>
          <w:sz w:val="18"/>
          <w:szCs w:val="18"/>
        </w:rPr>
        <w:t>度结</w:t>
      </w:r>
    </w:p>
    <w:p>
      <w:pPr>
        <w:pStyle w:val="2"/>
        <w:spacing w:line="220" w:lineRule="auto"/>
        <w:ind w:left="842"/>
        <w:rPr>
          <w:sz w:val="18"/>
          <w:szCs w:val="18"/>
        </w:rPr>
      </w:pPr>
      <w:r>
        <w:rPr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spacing w:before="31" w:line="182" w:lineRule="auto"/>
              <w:ind w:left="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0" w:type="default"/>
          <w:footerReference r:id="rId21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4"/>
        <w:gridCol w:w="983"/>
        <w:gridCol w:w="35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9" w:line="228" w:lineRule="auto"/>
              <w:ind w:left="287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8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单位名称：古县三合镇石壁学校</w:t>
            </w: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8" w:line="225" w:lineRule="auto"/>
              <w:ind w:left="19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80" w:line="227" w:lineRule="auto"/>
              <w:ind w:left="240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1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62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6"/>
              <w:spacing w:before="62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2" w:line="221" w:lineRule="auto"/>
              <w:ind w:left="206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0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3" w:line="219" w:lineRule="auto"/>
              <w:ind w:left="207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206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8"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19" w:lineRule="auto"/>
              <w:ind w:left="206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2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vAlign w:val="top"/>
          </w:tcPr>
          <w:p>
            <w:pPr>
              <w:pStyle w:val="6"/>
              <w:spacing w:before="64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2" w:lineRule="auto"/>
              <w:ind w:left="438"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30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70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2" w:type="default"/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81" w:line="222" w:lineRule="auto"/>
        <w:ind w:left="4277"/>
        <w:outlineLvl w:val="0"/>
        <w:rPr>
          <w:rFonts w:ascii="SimHei" w:hAnsi="SimHei" w:eastAsia="SimHei" w:cs="SimHei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SimHei" w:hAnsi="SimHei" w:eastAsia="SimHei" w:cs="SimHei"/>
          <w:spacing w:val="-1"/>
          <w:sz w:val="25"/>
          <w:szCs w:val="25"/>
        </w:rPr>
        <w:t>第三部分</w:t>
      </w:r>
      <w:r>
        <w:rPr>
          <w:rFonts w:ascii="SimHei" w:hAnsi="SimHei" w:eastAsia="SimHei" w:cs="SimHei"/>
          <w:spacing w:val="18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1"/>
          <w:sz w:val="25"/>
          <w:szCs w:val="25"/>
        </w:rPr>
        <w:t>情况说明</w:t>
      </w:r>
    </w:p>
    <w:p>
      <w:pPr>
        <w:spacing w:before="275" w:line="222" w:lineRule="auto"/>
        <w:ind w:left="1202"/>
        <w:outlineLvl w:val="1"/>
        <w:rPr>
          <w:rFonts w:ascii="SimHei" w:hAnsi="SimHei" w:eastAsia="SimHei" w:cs="SimHei"/>
          <w:sz w:val="25"/>
          <w:szCs w:val="25"/>
        </w:rPr>
      </w:pPr>
      <w:bookmarkStart w:id="55" w:name="bookmark17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spacing w:before="133" w:line="311" w:lineRule="auto"/>
        <w:ind w:left="707" w:right="937" w:firstLine="498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2023年度收入总计299.98万元，支出总计299.98万元。与上年相比，收入总计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减少207.98万元，下降40.94%，支出总计减少207.98万元，下降40.94%。主要原因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是由于我单位撤并，大部分教职工分流至其它各学校，各项人员经费拨款也调拨至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其他各校。</w:t>
      </w:r>
    </w:p>
    <w:p>
      <w:pPr>
        <w:spacing w:before="42" w:line="222" w:lineRule="auto"/>
        <w:ind w:left="1202"/>
        <w:outlineLvl w:val="1"/>
        <w:rPr>
          <w:rFonts w:ascii="SimHei" w:hAnsi="SimHei" w:eastAsia="SimHei" w:cs="SimHei"/>
          <w:sz w:val="25"/>
          <w:szCs w:val="25"/>
        </w:rPr>
      </w:pPr>
      <w:bookmarkStart w:id="56" w:name="bookmark18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spacing w:before="130" w:line="224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2023年度收入合计299.98万元，其中：</w:t>
      </w:r>
    </w:p>
    <w:p>
      <w:pPr>
        <w:spacing w:before="128" w:line="304" w:lineRule="auto"/>
        <w:ind w:left="1212" w:right="4898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财政拨款收入299.98万元，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上级补助收入0万元，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占比0%；</w:t>
      </w:r>
    </w:p>
    <w:p>
      <w:pPr>
        <w:spacing w:before="42" w:line="304" w:lineRule="auto"/>
        <w:ind w:left="1210" w:right="666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事业收入0万元，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经营收入0万元，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</w:p>
    <w:p>
      <w:pPr>
        <w:spacing w:before="40" w:line="304" w:lineRule="auto"/>
        <w:ind w:left="1212" w:right="5654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7"/>
          <w:sz w:val="25"/>
          <w:szCs w:val="25"/>
        </w:rPr>
        <w:t>附属单位上缴收入0万元，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7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其他收入0万元，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占比0%。</w:t>
      </w:r>
    </w:p>
    <w:p>
      <w:pPr>
        <w:spacing w:before="42" w:line="222" w:lineRule="auto"/>
        <w:ind w:left="1203"/>
        <w:outlineLvl w:val="1"/>
        <w:rPr>
          <w:rFonts w:ascii="SimHei" w:hAnsi="SimHei" w:eastAsia="SimHei" w:cs="SimHei"/>
          <w:sz w:val="25"/>
          <w:szCs w:val="25"/>
        </w:rPr>
      </w:pPr>
      <w:bookmarkStart w:id="57" w:name="bookmark19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spacing w:before="131" w:line="304" w:lineRule="auto"/>
        <w:ind w:left="1210" w:right="5277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2"/>
          <w:sz w:val="25"/>
          <w:szCs w:val="25"/>
        </w:rPr>
        <w:t>2023年度支出合计299.98万元，其中：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基本支出254.83万元，</w:t>
      </w:r>
      <w:r>
        <w:rPr>
          <w:rFonts w:ascii="FangSong" w:hAnsi="FangSong" w:eastAsia="FangSong" w:cs="FangSong"/>
          <w:spacing w:val="-4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占比84.95%；</w:t>
      </w:r>
    </w:p>
    <w:p>
      <w:pPr>
        <w:spacing w:before="41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项目支出45.15万元，</w:t>
      </w:r>
      <w:r>
        <w:rPr>
          <w:rFonts w:ascii="FangSong" w:hAnsi="FangSong" w:eastAsia="FangSong" w:cs="FangSong"/>
          <w:spacing w:val="-5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占比15.05%；</w:t>
      </w:r>
    </w:p>
    <w:p>
      <w:pPr>
        <w:spacing w:before="129" w:line="304" w:lineRule="auto"/>
        <w:ind w:left="1210" w:right="6158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8"/>
          <w:sz w:val="25"/>
          <w:szCs w:val="25"/>
        </w:rPr>
        <w:t>上缴上级支出0万元，</w:t>
      </w:r>
      <w:r>
        <w:rPr>
          <w:rFonts w:ascii="FangSong" w:hAnsi="FangSong" w:eastAsia="FangSong" w:cs="FangSong"/>
          <w:spacing w:val="-5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8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经营支出0万元，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占比0%；</w:t>
      </w:r>
    </w:p>
    <w:p>
      <w:pPr>
        <w:spacing w:before="41" w:line="222" w:lineRule="auto"/>
        <w:ind w:left="121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对附属单位补助支出0万元，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占比0%。</w:t>
      </w:r>
    </w:p>
    <w:p>
      <w:pPr>
        <w:spacing w:before="132" w:line="222" w:lineRule="auto"/>
        <w:ind w:left="1213"/>
        <w:outlineLvl w:val="1"/>
        <w:rPr>
          <w:rFonts w:ascii="SimHei" w:hAnsi="SimHei" w:eastAsia="SimHei" w:cs="SimHei"/>
          <w:sz w:val="25"/>
          <w:szCs w:val="25"/>
        </w:rPr>
      </w:pPr>
      <w:bookmarkStart w:id="58" w:name="bookmark20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spacing w:before="133" w:line="311" w:lineRule="auto"/>
        <w:ind w:left="707" w:right="937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2023年度财政拨款收入总计299.98万元，支出总计299.98万元。与上年相比，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财政拨款收入总计减少207.98万元，下降40.94%；财政拨款支出总计减少207.98万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元，下降40.94%。主要</w:t>
      </w:r>
      <w:bookmarkStart w:id="69" w:name="_GoBack"/>
      <w:bookmarkEnd w:id="69"/>
      <w:r>
        <w:rPr>
          <w:rFonts w:ascii="FangSong" w:hAnsi="FangSong" w:eastAsia="FangSong" w:cs="FangSong"/>
          <w:spacing w:val="1"/>
          <w:sz w:val="25"/>
          <w:szCs w:val="25"/>
          <w:lang w:val="en"/>
        </w:rPr>
        <w:t>原因是</w:t>
      </w:r>
      <w:r>
        <w:rPr>
          <w:rFonts w:ascii="FangSong" w:hAnsi="FangSong" w:eastAsia="FangSong" w:cs="FangSong"/>
          <w:spacing w:val="1"/>
          <w:sz w:val="25"/>
          <w:szCs w:val="25"/>
        </w:rPr>
        <w:t>我单位撤并，大部分教职工分流至其它各学校，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各项人员经费拨款也调拨至其他各校。</w:t>
      </w:r>
    </w:p>
    <w:p>
      <w:pPr>
        <w:spacing w:before="42" w:line="222" w:lineRule="auto"/>
        <w:ind w:left="1204"/>
        <w:outlineLvl w:val="1"/>
        <w:rPr>
          <w:rFonts w:ascii="SimHei" w:hAnsi="SimHei" w:eastAsia="SimHei" w:cs="SimHei"/>
          <w:sz w:val="25"/>
          <w:szCs w:val="25"/>
        </w:rPr>
      </w:pPr>
      <w:bookmarkStart w:id="59" w:name="bookmark21"/>
      <w:bookmarkEnd w:id="59"/>
      <w:r>
        <w:rPr>
          <w:rFonts w:ascii="SimHei" w:hAnsi="SimHei" w:eastAsia="SimHei" w:cs="SimHei"/>
          <w:spacing w:val="1"/>
          <w:sz w:val="25"/>
          <w:szCs w:val="25"/>
        </w:rPr>
        <w:t>五、一般公共预算财政拨款支出决算情况说明</w:t>
      </w:r>
    </w:p>
    <w:p>
      <w:pPr>
        <w:spacing w:before="131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spacing w:before="132" w:line="223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2023年一般公共预算财政拨款决算支出299.</w:t>
      </w:r>
      <w:r>
        <w:rPr>
          <w:rFonts w:ascii="FangSong" w:hAnsi="FangSong" w:eastAsia="FangSong" w:cs="FangSong"/>
          <w:spacing w:val="-1"/>
          <w:sz w:val="25"/>
          <w:szCs w:val="25"/>
        </w:rPr>
        <w:t>98万元，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占本年支出合计的</w:t>
      </w:r>
    </w:p>
    <w:p>
      <w:pPr>
        <w:spacing w:before="130" w:line="223" w:lineRule="auto"/>
        <w:ind w:left="71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100.00%。与上年相比，一般公共预算财政拨款支出减少207.98万元，下降</w:t>
      </w:r>
    </w:p>
    <w:p>
      <w:pPr>
        <w:spacing w:before="129" w:line="304" w:lineRule="auto"/>
        <w:ind w:left="706" w:right="937" w:hanging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40.94%。主要</w:t>
      </w:r>
      <w:r>
        <w:rPr>
          <w:rFonts w:ascii="FangSong" w:hAnsi="FangSong" w:eastAsia="FangSong" w:cs="FangSong"/>
          <w:spacing w:val="2"/>
          <w:sz w:val="25"/>
          <w:szCs w:val="25"/>
          <w:lang w:val="en"/>
        </w:rPr>
        <w:t>原因是</w:t>
      </w:r>
      <w:r>
        <w:rPr>
          <w:rFonts w:ascii="FangSong" w:hAnsi="FangSong" w:eastAsia="FangSong" w:cs="FangSong"/>
          <w:spacing w:val="2"/>
          <w:sz w:val="25"/>
          <w:szCs w:val="25"/>
        </w:rPr>
        <w:t>我单位撤并，大部分教</w:t>
      </w:r>
      <w:r>
        <w:rPr>
          <w:rFonts w:ascii="FangSong" w:hAnsi="FangSong" w:eastAsia="FangSong" w:cs="FangSong"/>
          <w:spacing w:val="1"/>
          <w:sz w:val="25"/>
          <w:szCs w:val="25"/>
        </w:rPr>
        <w:t>职工分流至其它各学校，各项人员</w:t>
      </w:r>
      <w:r>
        <w:rPr>
          <w:rFonts w:ascii="FangSong" w:hAnsi="FangSong" w:eastAsia="FangSong" w:cs="FangSong"/>
          <w:sz w:val="25"/>
          <w:szCs w:val="25"/>
        </w:rPr>
        <w:t xml:space="preserve"> 经费拨款也调拨至其他各校。</w:t>
      </w:r>
    </w:p>
    <w:p>
      <w:pPr>
        <w:spacing w:before="42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rPr>
          <w:rFonts w:ascii="SimHei" w:hAnsi="SimHei" w:eastAsia="SimHei" w:cs="SimHei"/>
          <w:sz w:val="25"/>
          <w:szCs w:val="25"/>
        </w:rPr>
        <w:sectPr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21" w:lineRule="auto"/>
        <w:rPr>
          <w:rFonts w:ascii="Arial"/>
          <w:sz w:val="21"/>
        </w:rPr>
      </w:pPr>
    </w:p>
    <w:p>
      <w:pPr>
        <w:spacing w:before="82" w:line="304" w:lineRule="auto"/>
        <w:ind w:left="1210" w:right="1748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2023年度一般公共预算财政拨款支出299.98万元，主要用</w:t>
      </w:r>
      <w:r>
        <w:rPr>
          <w:rFonts w:ascii="FangSong" w:hAnsi="FangSong" w:eastAsia="FangSong" w:cs="FangSong"/>
          <w:spacing w:val="-1"/>
          <w:sz w:val="25"/>
          <w:szCs w:val="25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教育支出(类)178.64万元，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占比59.55%；</w:t>
      </w:r>
    </w:p>
    <w:p>
      <w:pPr>
        <w:spacing w:before="41" w:line="303" w:lineRule="auto"/>
        <w:ind w:left="1210" w:right="376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社会保障和就业支出(类)107.37万元，</w:t>
      </w:r>
      <w:r>
        <w:rPr>
          <w:rFonts w:ascii="FangSong" w:hAnsi="FangSong" w:eastAsia="FangSong" w:cs="FangSong"/>
          <w:spacing w:val="-6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占比35.79%；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住房保障支出(类)13.80万元，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占比4.60%；</w:t>
      </w:r>
    </w:p>
    <w:p>
      <w:pPr>
        <w:spacing w:before="42" w:line="224" w:lineRule="auto"/>
        <w:ind w:left="12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灾害防治及应急管理支出(类)0.17万元，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占比0.06%。</w:t>
      </w:r>
    </w:p>
    <w:p>
      <w:pPr>
        <w:spacing w:before="129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spacing w:before="130" w:line="304" w:lineRule="auto"/>
        <w:ind w:left="710" w:right="937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2023年度一般公共预算财政拨款支出年初预算545.94万元，支出决算299.98万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元，完成年初预算的54.95%。其中：</w:t>
      </w:r>
    </w:p>
    <w:p>
      <w:pPr>
        <w:spacing w:before="41" w:line="223" w:lineRule="auto"/>
        <w:ind w:left="12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教育支出年初预算382.59万元，支出决算178.64万元，完成年初预算的</w:t>
      </w:r>
    </w:p>
    <w:p>
      <w:pPr>
        <w:spacing w:before="130" w:line="221" w:lineRule="auto"/>
        <w:ind w:left="6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46.69%，主要用于在职人员工资及社会保障</w:t>
      </w:r>
      <w:r>
        <w:rPr>
          <w:rFonts w:ascii="FangSong" w:hAnsi="FangSong" w:eastAsia="FangSong" w:cs="FangSong"/>
          <w:spacing w:val="1"/>
          <w:sz w:val="25"/>
          <w:szCs w:val="25"/>
        </w:rPr>
        <w:t>缴费支出，对个人和家庭补助支出等，</w:t>
      </w:r>
    </w:p>
    <w:p>
      <w:pPr>
        <w:spacing w:before="131" w:line="314" w:lineRule="auto"/>
        <w:ind w:left="706" w:right="811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较上年决算减少218.71万元，减少 55.04%，主要</w:t>
      </w:r>
      <w:r>
        <w:rPr>
          <w:rFonts w:ascii="FangSong" w:hAnsi="FangSong" w:eastAsia="FangSong" w:cs="FangSong"/>
          <w:spacing w:val="1"/>
          <w:sz w:val="25"/>
          <w:szCs w:val="25"/>
          <w:lang w:val="en"/>
        </w:rPr>
        <w:t>原因是</w:t>
      </w:r>
      <w:r>
        <w:rPr>
          <w:rFonts w:ascii="FangSong" w:hAnsi="FangSong" w:eastAsia="FangSong" w:cs="FangSong"/>
          <w:spacing w:val="1"/>
          <w:sz w:val="25"/>
          <w:szCs w:val="25"/>
        </w:rPr>
        <w:t>我单位撤并，大部分教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职工分流至其它各学校，各项人员经费拨款</w:t>
      </w:r>
      <w:r>
        <w:rPr>
          <w:rFonts w:ascii="FangSong" w:hAnsi="FangSong" w:eastAsia="FangSong" w:cs="FangSong"/>
          <w:spacing w:val="1"/>
          <w:sz w:val="25"/>
          <w:szCs w:val="25"/>
        </w:rPr>
        <w:t>也调拨至其他各校，相对而言支出有所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减少，社会保障和就业支出年初预算 118.49万元，支出决算107.37万元，完成年初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预算的90.62%，主要用于退休人员的取暖费，在职人员的养老保险，以及职业年金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支出，较上年决算增加39.43万元，增长58.04%，主要原因是本年有2021-2023年退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休人员以及辞职人员的职业年金记实支出，还有离休人员补发护理费和离休工资；</w:t>
      </w:r>
    </w:p>
    <w:p>
      <w:pPr>
        <w:spacing w:before="40" w:line="315" w:lineRule="auto"/>
        <w:ind w:left="706" w:right="8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住房保障支出年初预算34.86万元，支出决算13.8万元，完成年初预算的39.59%，主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要用于在职人员的住房公积金支出，较上年决算减少23.47万元，减少62.97%，主要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原因是我单位撤并，大部分教职工分流至其他各校，各项经费拨款也调拨至其它各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校，因此公积金支出减少；灾害防治及应急管理支出年初预算0万元，支出决算0.17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万元，完成年初预算的 ∞ %，主要用于石壁幼儿园的围墙维修工程质保金，较上年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决算减少5.23万元，主要原因是本年只支付了石壁幼儿园的围墙维修工程的剩余款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质保金，上年已经支付了此工程款的一大部分，因此相对有所减少。</w:t>
      </w:r>
    </w:p>
    <w:p>
      <w:pPr>
        <w:spacing w:before="43" w:line="222" w:lineRule="auto"/>
        <w:ind w:left="1205"/>
        <w:outlineLvl w:val="1"/>
        <w:rPr>
          <w:rFonts w:ascii="SimHei" w:hAnsi="SimHei" w:eastAsia="SimHei" w:cs="SimHei"/>
          <w:sz w:val="25"/>
          <w:szCs w:val="25"/>
        </w:rPr>
      </w:pPr>
      <w:bookmarkStart w:id="60" w:name="bookmark22"/>
      <w:bookmarkEnd w:id="60"/>
      <w:r>
        <w:rPr>
          <w:rFonts w:ascii="SimHei" w:hAnsi="SimHei" w:eastAsia="SimHei" w:cs="SimHei"/>
          <w:spacing w:val="1"/>
          <w:sz w:val="25"/>
          <w:szCs w:val="25"/>
        </w:rPr>
        <w:t>六、一般公共预算财政拨款基本支出决算情况说明</w:t>
      </w:r>
    </w:p>
    <w:p>
      <w:pPr>
        <w:spacing w:before="131" w:line="224" w:lineRule="auto"/>
        <w:ind w:left="12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2023年度财政拨款基本支出254.83万元，其中：</w:t>
      </w:r>
    </w:p>
    <w:p>
      <w:pPr>
        <w:spacing w:before="129" w:line="304" w:lineRule="auto"/>
        <w:ind w:left="715" w:right="1189" w:firstLine="49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人员经费240.82万元，主要包括在职人员工资、奖金、绩效、社会保障缴费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3"/>
          <w:sz w:val="25"/>
          <w:szCs w:val="25"/>
        </w:rPr>
        <w:t>等；</w:t>
      </w:r>
    </w:p>
    <w:p>
      <w:pPr>
        <w:spacing w:before="41" w:line="224" w:lineRule="auto"/>
        <w:ind w:left="121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公用经费14.00万元，主要包括工会经费5.22万元，福利费8.79万元。</w:t>
      </w:r>
    </w:p>
    <w:p>
      <w:pPr>
        <w:spacing w:before="129" w:line="222" w:lineRule="auto"/>
        <w:ind w:left="1197"/>
        <w:outlineLvl w:val="1"/>
        <w:rPr>
          <w:rFonts w:ascii="SimHei" w:hAnsi="SimHei" w:eastAsia="SimHei" w:cs="SimHei"/>
          <w:sz w:val="25"/>
          <w:szCs w:val="25"/>
        </w:rPr>
      </w:pPr>
      <w:bookmarkStart w:id="61" w:name="bookmark23"/>
      <w:bookmarkEnd w:id="61"/>
      <w:r>
        <w:rPr>
          <w:rFonts w:ascii="SimHei" w:hAnsi="SimHei" w:eastAsia="SimHei" w:cs="SimHei"/>
          <w:spacing w:val="1"/>
          <w:sz w:val="25"/>
          <w:szCs w:val="25"/>
        </w:rPr>
        <w:t>七、政府性基金预算财政拨款收支决算情况说明</w:t>
      </w:r>
    </w:p>
    <w:p>
      <w:pPr>
        <w:spacing w:before="131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29" w:line="222" w:lineRule="auto"/>
        <w:ind w:left="1198"/>
        <w:outlineLvl w:val="1"/>
        <w:rPr>
          <w:rFonts w:ascii="SimHei" w:hAnsi="SimHei" w:eastAsia="SimHei" w:cs="SimHei"/>
          <w:sz w:val="25"/>
          <w:szCs w:val="25"/>
        </w:rPr>
      </w:pPr>
      <w:bookmarkStart w:id="62" w:name="bookmark24"/>
      <w:bookmarkEnd w:id="62"/>
      <w:r>
        <w:rPr>
          <w:rFonts w:ascii="SimHei" w:hAnsi="SimHei" w:eastAsia="SimHei" w:cs="SimHei"/>
          <w:spacing w:val="1"/>
          <w:sz w:val="25"/>
          <w:szCs w:val="25"/>
        </w:rPr>
        <w:t>八、国有资本经营预算财政拨款支出决算情况说明</w:t>
      </w:r>
    </w:p>
    <w:p>
      <w:pPr>
        <w:spacing w:before="131" w:line="224" w:lineRule="auto"/>
        <w:ind w:left="12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30" w:line="222" w:lineRule="auto"/>
        <w:ind w:left="1204"/>
        <w:outlineLvl w:val="1"/>
        <w:rPr>
          <w:rFonts w:ascii="SimHei" w:hAnsi="SimHei" w:eastAsia="SimHei" w:cs="SimHei"/>
          <w:sz w:val="25"/>
          <w:szCs w:val="25"/>
        </w:rPr>
      </w:pPr>
      <w:bookmarkStart w:id="63" w:name="bookmark25"/>
      <w:bookmarkEnd w:id="63"/>
      <w:r>
        <w:rPr>
          <w:rFonts w:ascii="SimHei" w:hAnsi="SimHei" w:eastAsia="SimHei" w:cs="SimHei"/>
          <w:spacing w:val="1"/>
          <w:sz w:val="25"/>
          <w:szCs w:val="25"/>
        </w:rPr>
        <w:t>九、财政拨款“三公”经费支出决算情况说明</w:t>
      </w:r>
    </w:p>
    <w:p>
      <w:pPr>
        <w:spacing w:before="131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line="222" w:lineRule="auto"/>
        <w:rPr>
          <w:rFonts w:ascii="SimHei" w:hAnsi="SimHei" w:eastAsia="SimHei" w:cs="SimHei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361" w:lineRule="auto"/>
        <w:rPr>
          <w:rFonts w:ascii="Arial"/>
          <w:sz w:val="21"/>
        </w:rPr>
      </w:pPr>
    </w:p>
    <w:p>
      <w:pPr>
        <w:spacing w:before="81" w:line="304" w:lineRule="auto"/>
        <w:ind w:left="711" w:right="925" w:firstLine="494"/>
        <w:rPr>
          <w:rFonts w:ascii="FangSong" w:hAnsi="FangSong" w:eastAsia="FangSong" w:cs="FangSong"/>
          <w:sz w:val="25"/>
          <w:szCs w:val="25"/>
        </w:rPr>
      </w:pPr>
      <w:bookmarkStart w:id="64" w:name="bookmark41"/>
      <w:bookmarkEnd w:id="64"/>
      <w:r>
        <w:rPr>
          <w:rFonts w:ascii="FangSong" w:hAnsi="FangSong" w:eastAsia="FangSong" w:cs="FangSong"/>
          <w:spacing w:val="1"/>
          <w:sz w:val="25"/>
          <w:szCs w:val="25"/>
        </w:rPr>
        <w:t>2023年度“三公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 年预算的0%，与上年“三公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pacing w:val="-1"/>
          <w:sz w:val="25"/>
          <w:szCs w:val="25"/>
        </w:rPr>
        <w:t>其中：</w:t>
      </w:r>
    </w:p>
    <w:p>
      <w:pPr>
        <w:spacing w:before="42" w:line="303" w:lineRule="auto"/>
        <w:ind w:left="707" w:right="1309" w:firstLine="52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 是：我单位无因出国（境）费支出；</w:t>
      </w:r>
    </w:p>
    <w:p>
      <w:pPr>
        <w:spacing w:before="41" w:line="303" w:lineRule="auto"/>
        <w:ind w:left="711" w:right="805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before="43" w:line="303" w:lineRule="auto"/>
        <w:ind w:left="707" w:right="1057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spacing w:before="44" w:line="304" w:lineRule="auto"/>
        <w:ind w:left="709" w:right="805" w:firstLine="5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无公务接待费支出。</w:t>
      </w:r>
    </w:p>
    <w:p>
      <w:pPr>
        <w:spacing w:before="42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before="131" w:line="272" w:lineRule="auto"/>
        <w:ind w:left="732" w:right="781" w:firstLine="48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pacing w:val="1"/>
          <w:sz w:val="25"/>
          <w:szCs w:val="25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因公出国出境支出。</w:t>
      </w:r>
    </w:p>
    <w:p>
      <w:pPr>
        <w:spacing w:before="128" w:line="270" w:lineRule="auto"/>
        <w:ind w:left="707" w:right="793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 xml:space="preserve">2、公务用车购置支出0万元，使用财政拨款共购置公务用车0辆，主要用于我单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spacing w:before="133" w:line="270" w:lineRule="auto"/>
        <w:ind w:left="712" w:right="793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spacing w:before="133" w:line="223" w:lineRule="auto"/>
        <w:ind w:left="12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4、公务接待费支出0万元，共接待0批次，0人次。国内接待费0万元，共接</w:t>
      </w:r>
    </w:p>
    <w:p>
      <w:pPr>
        <w:spacing w:before="128" w:line="309" w:lineRule="auto"/>
        <w:ind w:left="709" w:right="781" w:hanging="2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pacing w:val="1"/>
          <w:sz w:val="25"/>
          <w:szCs w:val="25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要是我单位无国（境）外接待费支出。</w:t>
      </w:r>
    </w:p>
    <w:p>
      <w:pPr>
        <w:spacing w:before="43" w:line="222" w:lineRule="auto"/>
        <w:ind w:left="1201"/>
        <w:outlineLvl w:val="1"/>
        <w:rPr>
          <w:rFonts w:ascii="SimHei" w:hAnsi="SimHei" w:eastAsia="SimHei" w:cs="SimHei"/>
          <w:sz w:val="25"/>
          <w:szCs w:val="25"/>
        </w:rPr>
      </w:pPr>
      <w:bookmarkStart w:id="65" w:name="bookmark26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spacing w:before="131" w:line="271" w:lineRule="auto"/>
        <w:ind w:left="1211" w:right="5726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 xml:space="preserve">（一）机关运行经费支出情况说明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spacing w:before="131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（二）政府采购情况说明</w:t>
      </w:r>
    </w:p>
    <w:p>
      <w:pPr>
        <w:spacing w:before="130" w:line="312" w:lineRule="auto"/>
        <w:ind w:left="706" w:right="805" w:firstLine="50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FangSong" w:hAnsi="FangSong" w:eastAsia="FangSong" w:cs="FangSong"/>
          <w:spacing w:val="1"/>
          <w:sz w:val="25"/>
          <w:szCs w:val="25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工程支出0万元、政府采购服务支出0万元。政府采购</w:t>
      </w:r>
      <w:r>
        <w:rPr>
          <w:rFonts w:ascii="FangSong" w:hAnsi="FangSong" w:eastAsia="FangSong" w:cs="FangSong"/>
          <w:spacing w:val="1"/>
          <w:sz w:val="25"/>
          <w:szCs w:val="25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占政府采购支出总额的0%。其中：授予小微企业合同金额0万元，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占政府采购支出总 </w:t>
      </w:r>
      <w:r>
        <w:rPr>
          <w:rFonts w:ascii="FangSong" w:hAnsi="FangSong" w:eastAsia="FangSong" w:cs="FangSong"/>
          <w:spacing w:val="-3"/>
          <w:sz w:val="25"/>
          <w:szCs w:val="25"/>
        </w:rPr>
        <w:t>额的0%。</w:t>
      </w:r>
    </w:p>
    <w:p>
      <w:pPr>
        <w:spacing w:before="40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（三）国有资产占用情况说明</w:t>
      </w:r>
    </w:p>
    <w:p>
      <w:pPr>
        <w:spacing w:before="130" w:line="311" w:lineRule="auto"/>
        <w:ind w:left="706" w:right="805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pacing w:val="-1"/>
          <w:sz w:val="25"/>
          <w:szCs w:val="25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pacing w:val="1"/>
          <w:sz w:val="25"/>
          <w:szCs w:val="25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他用车主要是我单位无其他用车；单价100万元（含）以上设备（不含车辆）0台</w:t>
      </w:r>
    </w:p>
    <w:p>
      <w:pPr>
        <w:spacing w:line="311" w:lineRule="auto"/>
        <w:rPr>
          <w:rFonts w:ascii="FangSong" w:hAnsi="FangSong" w:eastAsia="FangSong" w:cs="FangSong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81" w:line="227" w:lineRule="auto"/>
        <w:ind w:left="707"/>
        <w:rPr>
          <w:rFonts w:ascii="FangSong" w:hAnsi="FangSong" w:eastAsia="FangSong" w:cs="FangSong"/>
          <w:sz w:val="25"/>
          <w:szCs w:val="25"/>
        </w:rPr>
      </w:pPr>
      <w:bookmarkStart w:id="66" w:name="bookmark42"/>
      <w:bookmarkEnd w:id="66"/>
      <w:r>
        <w:rPr>
          <w:rFonts w:ascii="FangSong" w:hAnsi="FangSong" w:eastAsia="FangSong" w:cs="FangSong"/>
          <w:spacing w:val="-4"/>
          <w:sz w:val="25"/>
          <w:szCs w:val="25"/>
        </w:rPr>
        <w:t>（套）。</w:t>
      </w:r>
    </w:p>
    <w:p>
      <w:pPr>
        <w:spacing w:before="124" w:line="222" w:lineRule="auto"/>
        <w:ind w:left="12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（四）预算绩效情况说明</w:t>
      </w:r>
    </w:p>
    <w:p>
      <w:pPr>
        <w:spacing w:before="130" w:line="222" w:lineRule="auto"/>
        <w:ind w:left="122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1、预算绩效管理工作开展情况</w:t>
      </w:r>
    </w:p>
    <w:p>
      <w:pPr>
        <w:spacing w:before="131" w:line="224" w:lineRule="auto"/>
        <w:ind w:left="7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2023年二级项目绩效自评个数6个，涉及资金39.95万元：6个项目自评等级</w:t>
      </w:r>
    </w:p>
    <w:p>
      <w:pPr>
        <w:spacing w:before="128" w:line="305" w:lineRule="auto"/>
        <w:ind w:left="709" w:right="811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为“优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”，0个项目自评等级为“</w:t>
      </w:r>
      <w:r>
        <w:rPr>
          <w:rFonts w:ascii="FangSong" w:hAnsi="FangSong" w:eastAsia="FangSong" w:cs="FangSong"/>
          <w:spacing w:val="-6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良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”，0个项目</w:t>
      </w:r>
      <w:r>
        <w:rPr>
          <w:rFonts w:ascii="FangSong" w:hAnsi="FangSong" w:eastAsia="FangSong" w:cs="FangSong"/>
          <w:spacing w:val="-5"/>
          <w:sz w:val="25"/>
          <w:szCs w:val="25"/>
        </w:rPr>
        <w:t>自评等级为“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中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级为“差</w:t>
      </w:r>
      <w:r>
        <w:rPr>
          <w:rFonts w:ascii="FangSong" w:hAnsi="FangSong" w:eastAsia="FangSong" w:cs="FangSong"/>
          <w:spacing w:val="-8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”。</w:t>
      </w:r>
    </w:p>
    <w:p>
      <w:pPr>
        <w:spacing w:before="39" w:line="224" w:lineRule="auto"/>
        <w:ind w:left="71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附件：二级项目绩效自评表</w:t>
      </w:r>
    </w:p>
    <w:p>
      <w:pPr>
        <w:spacing w:before="128" w:line="304" w:lineRule="auto"/>
        <w:ind w:left="709" w:right="6860" w:firstLine="49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无其他说明的事项</w:t>
      </w:r>
    </w:p>
    <w:p>
      <w:pPr>
        <w:spacing w:line="304" w:lineRule="auto"/>
        <w:rPr>
          <w:rFonts w:ascii="FangSong" w:hAnsi="FangSong" w:eastAsia="FangSong" w:cs="FangSong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81" w:line="223" w:lineRule="auto"/>
        <w:ind w:left="4277"/>
        <w:outlineLvl w:val="0"/>
        <w:rPr>
          <w:rFonts w:ascii="SimHei" w:hAnsi="SimHei" w:eastAsia="SimHei" w:cs="SimHei"/>
          <w:sz w:val="25"/>
          <w:szCs w:val="25"/>
        </w:rPr>
      </w:pPr>
      <w:bookmarkStart w:id="67" w:name="bookmark27"/>
      <w:bookmarkEnd w:id="67"/>
      <w:r>
        <w:rPr>
          <w:rFonts w:ascii="SimHei" w:hAnsi="SimHei" w:eastAsia="SimHei" w:cs="SimHei"/>
          <w:spacing w:val="-2"/>
          <w:sz w:val="25"/>
          <w:szCs w:val="25"/>
        </w:rPr>
        <w:t>第四部分</w:t>
      </w:r>
      <w:r>
        <w:rPr>
          <w:rFonts w:ascii="SimHei" w:hAnsi="SimHei" w:eastAsia="SimHei" w:cs="SimHei"/>
          <w:spacing w:val="2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2"/>
          <w:sz w:val="25"/>
          <w:szCs w:val="25"/>
        </w:rPr>
        <w:t>名词解释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82" w:line="222" w:lineRule="auto"/>
        <w:ind w:left="7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一、财政拨款收入：指单位从同级财政部门取得的财政预算资金。</w:t>
      </w:r>
    </w:p>
    <w:p>
      <w:pPr>
        <w:spacing w:before="131" w:line="222" w:lineRule="auto"/>
        <w:ind w:left="7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二、事业收入：指事业单位开展专业业务活动及辅助活动取得的收入。</w:t>
      </w:r>
    </w:p>
    <w:p>
      <w:pPr>
        <w:spacing w:before="132" w:line="271" w:lineRule="auto"/>
        <w:ind w:left="713" w:right="93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活动取得的收入。</w:t>
      </w:r>
    </w:p>
    <w:p>
      <w:pPr>
        <w:spacing w:before="129" w:line="270" w:lineRule="auto"/>
        <w:ind w:left="708" w:right="937" w:firstLine="2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 产出租收入、存款利息收入等。</w:t>
      </w:r>
    </w:p>
    <w:p>
      <w:pPr>
        <w:spacing w:before="134" w:line="271" w:lineRule="auto"/>
        <w:ind w:left="711" w:right="937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年收支差额的金额。</w:t>
      </w:r>
    </w:p>
    <w:p>
      <w:pPr>
        <w:spacing w:before="129" w:line="304" w:lineRule="auto"/>
        <w:ind w:left="707" w:right="937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使用的资金，或项目已完成等产生的结余资金。</w:t>
      </w:r>
    </w:p>
    <w:p>
      <w:pPr>
        <w:spacing w:before="41" w:line="302" w:lineRule="auto"/>
        <w:ind w:left="709" w:right="937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spacing w:before="47" w:line="304" w:lineRule="auto"/>
        <w:ind w:left="710" w:right="988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spacing w:before="40" w:line="272" w:lineRule="auto"/>
        <w:ind w:left="706" w:right="937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用经费支出。</w:t>
      </w:r>
    </w:p>
    <w:p>
      <w:pPr>
        <w:spacing w:before="127" w:line="274" w:lineRule="auto"/>
        <w:ind w:left="731" w:right="937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2"/>
          <w:sz w:val="25"/>
          <w:szCs w:val="25"/>
        </w:rPr>
        <w:t>出。</w:t>
      </w:r>
    </w:p>
    <w:p>
      <w:pPr>
        <w:spacing w:before="125" w:line="299" w:lineRule="auto"/>
        <w:ind w:left="708" w:right="937" w:firstLine="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pacing w:val="-7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FangSong" w:hAnsi="FangSong" w:eastAsia="FangSong" w:cs="FangSong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pacing w:val="13"/>
          <w:sz w:val="25"/>
          <w:szCs w:val="25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>
      <w:pPr>
        <w:spacing w:before="134" w:line="271" w:lineRule="auto"/>
        <w:ind w:left="708" w:right="937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宾接待）支出。</w:t>
      </w:r>
    </w:p>
    <w:p>
      <w:pPr>
        <w:spacing w:before="131" w:line="271" w:lineRule="auto"/>
        <w:ind w:left="731" w:right="937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出中的公用经费支出。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82" w:line="224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</w:t>
      </w:r>
    </w:p>
    <w:p>
      <w:pPr>
        <w:spacing w:before="128" w:line="221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十四、社会保障和就业支出：反映政府在社会保障与就业方面的支出</w:t>
      </w:r>
    </w:p>
    <w:p>
      <w:pPr>
        <w:spacing w:before="134" w:line="222" w:lineRule="auto"/>
        <w:ind w:left="7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十五、住房和保障支出：集中反映政府用于住房方面的支出</w:t>
      </w:r>
    </w:p>
    <w:p>
      <w:pPr>
        <w:spacing w:line="222" w:lineRule="auto"/>
        <w:rPr>
          <w:rFonts w:ascii="FangSong" w:hAnsi="FangSong" w:eastAsia="FangSong" w:cs="FangSong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82" w:line="305" w:lineRule="auto"/>
        <w:ind w:left="719" w:right="937" w:hanging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十六、灾害防治及应急管理支出：反映政府用于自然灾害防治、安全生产监管及应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急管理等方面的支出</w:t>
      </w:r>
    </w:p>
    <w:p>
      <w:pPr>
        <w:spacing w:before="74" w:line="223" w:lineRule="auto"/>
        <w:ind w:left="4529"/>
        <w:outlineLvl w:val="0"/>
        <w:rPr>
          <w:rFonts w:ascii="SimHei" w:hAnsi="SimHei" w:eastAsia="SimHei" w:cs="SimHei"/>
          <w:sz w:val="25"/>
          <w:szCs w:val="25"/>
        </w:rPr>
      </w:pPr>
      <w:bookmarkStart w:id="68" w:name="bookmark28"/>
      <w:bookmarkEnd w:id="68"/>
      <w:r>
        <w:rPr>
          <w:rFonts w:ascii="SimHei" w:hAnsi="SimHei" w:eastAsia="SimHei" w:cs="SimHei"/>
          <w:spacing w:val="-5"/>
          <w:sz w:val="25"/>
          <w:szCs w:val="25"/>
        </w:rPr>
        <w:t>第五部分</w:t>
      </w:r>
      <w:r>
        <w:rPr>
          <w:rFonts w:ascii="SimHei" w:hAnsi="SimHei" w:eastAsia="SimHei" w:cs="SimHei"/>
          <w:spacing w:val="3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5"/>
          <w:sz w:val="25"/>
          <w:szCs w:val="25"/>
        </w:rPr>
        <w:t>附件</w:t>
      </w:r>
    </w:p>
    <w:p>
      <w:pPr>
        <w:spacing w:line="223" w:lineRule="auto"/>
        <w:rPr>
          <w:rFonts w:ascii="SimHei" w:hAnsi="SimHei" w:eastAsia="SimHei" w:cs="SimHei"/>
          <w:sz w:val="25"/>
          <w:szCs w:val="25"/>
        </w:rPr>
        <w:sectPr>
          <w:footerReference r:id="rId2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>
      <w:pPr>
        <w:spacing w:line="467" w:lineRule="auto"/>
        <w:rPr>
          <w:rFonts w:ascii="Arial"/>
          <w:sz w:val="21"/>
        </w:rPr>
      </w:pPr>
    </w:p>
    <w:p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5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7686"/>
      <w:rPr>
        <w:sz w:val="16"/>
        <w:szCs w:val="16"/>
      </w:rPr>
    </w:pPr>
    <w:r>
      <w:rPr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-26-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古县三合镇石壁学校2023年单位决算公开报告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古县三合镇石壁学校2023年单位决算公开报告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古县三合镇石壁学校2023年单位决算公开报告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古县三合镇石壁学校2023年单位决算公开报告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古县三合镇石壁学校2023年单位决算公开报告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7D61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6.jpeg"/><Relationship Id="rId41" Type="http://schemas.openxmlformats.org/officeDocument/2006/relationships/image" Target="media/image5.jpeg"/><Relationship Id="rId40" Type="http://schemas.openxmlformats.org/officeDocument/2006/relationships/image" Target="media/image4.jpeg"/><Relationship Id="rId4" Type="http://schemas.openxmlformats.org/officeDocument/2006/relationships/endnotes" Target="endnotes.xml"/><Relationship Id="rId39" Type="http://schemas.openxmlformats.org/officeDocument/2006/relationships/image" Target="media/image3.jpeg"/><Relationship Id="rId38" Type="http://schemas.openxmlformats.org/officeDocument/2006/relationships/image" Target="media/image2.jpeg"/><Relationship Id="rId37" Type="http://schemas.openxmlformats.org/officeDocument/2006/relationships/image" Target="media/image1.jpeg"/><Relationship Id="rId36" Type="http://schemas.openxmlformats.org/officeDocument/2006/relationships/theme" Target="theme/theme1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footer" Target="footer14.xml"/><Relationship Id="rId22" Type="http://schemas.openxmlformats.org/officeDocument/2006/relationships/header" Target="header5.xml"/><Relationship Id="rId21" Type="http://schemas.openxmlformats.org/officeDocument/2006/relationships/footer" Target="footer13.xml"/><Relationship Id="rId20" Type="http://schemas.openxmlformats.org/officeDocument/2006/relationships/header" Target="header4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footer" Target="footer11.xml"/><Relationship Id="rId17" Type="http://schemas.openxmlformats.org/officeDocument/2006/relationships/header" Target="header3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2024-09-10T23:43:00Z</dcterms:created>
  <dc:creator>greatwall</dc:creator>
  <cp:lastModifiedBy>greatwall</cp:lastModifiedBy>
  <dcterms:modified xsi:type="dcterms:W3CDTF">2025-01-22T17:23:49Z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2024-09-20T10:39:22Z</vt:filetime>
  </property>
  <property fmtid="{D5CDD505-2E9C-101B-9397-08002B2CF9AE}" pid="4" name="KSOProductBuildVer">
    <vt:lpwstr>2052-11.8.2.10195</vt:lpwstr>
  </property>
</Properties>
</file>